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Times New Roman" w:hAnsi="方正小标宋_GBK" w:eastAsia="方正小标宋_GBK"/>
          <w:b/>
          <w:sz w:val="44"/>
          <w:szCs w:val="44"/>
        </w:rPr>
      </w:pPr>
    </w:p>
    <w:p>
      <w:pPr>
        <w:spacing w:line="600" w:lineRule="exact"/>
        <w:jc w:val="center"/>
        <w:rPr>
          <w:rFonts w:ascii="Times New Roman" w:hAnsi="方正小标宋_GBK" w:eastAsia="方正小标宋_GBK"/>
          <w:b/>
          <w:sz w:val="44"/>
          <w:szCs w:val="44"/>
        </w:rPr>
      </w:pPr>
    </w:p>
    <w:p>
      <w:pPr>
        <w:spacing w:line="600" w:lineRule="exact"/>
        <w:jc w:val="center"/>
        <w:rPr>
          <w:rFonts w:ascii="Times New Roman" w:hAnsi="方正小标宋_GBK" w:eastAsia="方正小标宋_GBK"/>
          <w:b/>
          <w:sz w:val="44"/>
          <w:szCs w:val="44"/>
        </w:rPr>
      </w:pPr>
    </w:p>
    <w:p>
      <w:pPr>
        <w:spacing w:line="600" w:lineRule="exact"/>
        <w:jc w:val="center"/>
        <w:rPr>
          <w:rFonts w:ascii="Times New Roman" w:hAnsi="方正小标宋_GBK" w:eastAsia="方正小标宋_GBK"/>
          <w:b/>
          <w:sz w:val="44"/>
          <w:szCs w:val="44"/>
        </w:rPr>
      </w:pPr>
    </w:p>
    <w:p>
      <w:pPr>
        <w:spacing w:line="600" w:lineRule="exact"/>
        <w:jc w:val="center"/>
        <w:rPr>
          <w:rFonts w:ascii="Times New Roman" w:hAnsi="方正小标宋_GBK" w:eastAsia="方正小标宋_GBK"/>
          <w:b/>
          <w:sz w:val="44"/>
          <w:szCs w:val="44"/>
        </w:rPr>
      </w:pPr>
    </w:p>
    <w:p>
      <w:pPr>
        <w:spacing w:line="600" w:lineRule="exact"/>
        <w:jc w:val="center"/>
        <w:rPr>
          <w:rFonts w:ascii="Times New Roman" w:hAnsi="Times New Roman" w:eastAsia="方正小标宋_GBK"/>
          <w:b/>
          <w:sz w:val="44"/>
          <w:szCs w:val="44"/>
        </w:rPr>
      </w:pPr>
      <w:r>
        <w:rPr>
          <w:rFonts w:hint="eastAsia" w:ascii="Times New Roman" w:hAnsi="方正小标宋_GBK" w:eastAsia="方正小标宋_GBK"/>
          <w:b/>
          <w:sz w:val="44"/>
          <w:szCs w:val="44"/>
        </w:rPr>
        <w:t>四川省文化产业发展促进中心         （四川省对外文化交流中心）</w:t>
      </w:r>
    </w:p>
    <w:p>
      <w:pPr>
        <w:spacing w:line="600" w:lineRule="exact"/>
        <w:jc w:val="center"/>
        <w:rPr>
          <w:rFonts w:ascii="方正小标宋_GBK" w:hAnsi="方正小标宋_GBK" w:eastAsia="方正小标宋_GBK"/>
          <w:b/>
          <w:sz w:val="44"/>
          <w:szCs w:val="44"/>
        </w:rPr>
      </w:pPr>
      <w:r>
        <w:rPr>
          <w:rFonts w:hint="eastAsia" w:ascii="Times New Roman" w:hAnsi="方正小标宋_GBK" w:eastAsia="方正小标宋_GBK"/>
          <w:b/>
          <w:sz w:val="44"/>
          <w:szCs w:val="44"/>
        </w:rPr>
        <w:t>第十六届中国（深圳）国际文化产业博览交易会“云上文博会”</w:t>
      </w:r>
      <w:r>
        <w:rPr>
          <w:rFonts w:ascii="Times New Roman" w:hAnsi="方正小标宋_GBK" w:eastAsia="方正小标宋_GBK"/>
          <w:b/>
          <w:sz w:val="44"/>
          <w:szCs w:val="44"/>
        </w:rPr>
        <w:t>采购项目比选公告</w:t>
      </w:r>
    </w:p>
    <w:p>
      <w:pPr>
        <w:spacing w:line="600" w:lineRule="exact"/>
        <w:rPr>
          <w:rFonts w:ascii="仿宋_GB2312" w:eastAsia="仿宋_GB2312"/>
          <w:b/>
          <w:sz w:val="32"/>
          <w:szCs w:val="32"/>
        </w:rPr>
      </w:pPr>
    </w:p>
    <w:p>
      <w:pPr>
        <w:spacing w:line="600" w:lineRule="exact"/>
        <w:rPr>
          <w:rFonts w:ascii="仿宋_GB2312" w:eastAsia="仿宋_GB2312"/>
          <w:b/>
          <w:sz w:val="32"/>
          <w:szCs w:val="32"/>
        </w:rPr>
      </w:pPr>
      <w:r>
        <w:rPr>
          <w:rFonts w:hint="eastAsia" w:ascii="仿宋_GB2312" w:eastAsia="仿宋_GB2312"/>
          <w:b/>
          <w:sz w:val="32"/>
          <w:szCs w:val="32"/>
        </w:rPr>
        <w:t xml:space="preserve">    根据工作需要，按照《中共四川省委宣传部购买服务比选暂行办法》要求，我中心将于近期对第十六届中国（深圳）国际文化产业博览交易会“云上文博会”采购项目进行公开比选。欢迎符合条件的供应商按照本项目有关要求报名参加比选。比选具体要求见附件。</w:t>
      </w:r>
    </w:p>
    <w:p>
      <w:pPr>
        <w:spacing w:line="600" w:lineRule="exact"/>
        <w:rPr>
          <w:rFonts w:ascii="仿宋_GB2312" w:eastAsia="仿宋_GB2312"/>
          <w:b/>
          <w:sz w:val="32"/>
          <w:szCs w:val="32"/>
        </w:rPr>
      </w:pPr>
    </w:p>
    <w:p>
      <w:pPr>
        <w:spacing w:line="600" w:lineRule="exact"/>
        <w:ind w:left="1558" w:hanging="1558" w:hangingChars="485"/>
        <w:jc w:val="left"/>
        <w:rPr>
          <w:rFonts w:ascii="仿宋_GB2312" w:eastAsia="仿宋_GB2312"/>
          <w:b/>
          <w:sz w:val="32"/>
          <w:szCs w:val="32"/>
        </w:rPr>
      </w:pPr>
      <w:r>
        <w:rPr>
          <w:rFonts w:hint="eastAsia" w:ascii="仿宋_GB2312" w:eastAsia="仿宋_GB2312"/>
          <w:b/>
          <w:sz w:val="32"/>
          <w:szCs w:val="32"/>
        </w:rPr>
        <w:t xml:space="preserve">    附件：四川省文化产业发展促进中心（四川省对外文化交流中心）第十六届中国（深圳）国际文化产业博览交易会“云上文博会”</w:t>
      </w:r>
      <w:r>
        <w:rPr>
          <w:rFonts w:ascii="仿宋_GB2312" w:eastAsia="仿宋_GB2312"/>
          <w:b/>
          <w:sz w:val="32"/>
          <w:szCs w:val="32"/>
        </w:rPr>
        <w:t>采购项目比选</w:t>
      </w:r>
      <w:r>
        <w:rPr>
          <w:rFonts w:hint="eastAsia" w:ascii="仿宋_GB2312" w:eastAsia="仿宋_GB2312"/>
          <w:b/>
          <w:sz w:val="32"/>
          <w:szCs w:val="32"/>
        </w:rPr>
        <w:t>须知</w:t>
      </w:r>
    </w:p>
    <w:p>
      <w:pPr>
        <w:spacing w:line="600" w:lineRule="exact"/>
        <w:rPr>
          <w:rFonts w:ascii="仿宋_GB2312" w:eastAsia="仿宋_GB2312"/>
          <w:b/>
          <w:sz w:val="32"/>
          <w:szCs w:val="32"/>
        </w:rPr>
      </w:pPr>
    </w:p>
    <w:p>
      <w:pPr>
        <w:spacing w:line="600" w:lineRule="exact"/>
        <w:jc w:val="right"/>
        <w:rPr>
          <w:rFonts w:ascii="仿宋_GB2312" w:eastAsia="仿宋_GB2312"/>
          <w:b/>
          <w:sz w:val="32"/>
          <w:szCs w:val="32"/>
        </w:rPr>
      </w:pPr>
      <w:r>
        <w:rPr>
          <w:rFonts w:hint="eastAsia" w:ascii="仿宋_GB2312" w:eastAsia="仿宋_GB2312"/>
          <w:b/>
          <w:sz w:val="32"/>
          <w:szCs w:val="32"/>
        </w:rPr>
        <w:t xml:space="preserve">                       四川省文化产业发展促进中心（四川省对外文化交流中心）</w:t>
      </w:r>
    </w:p>
    <w:p>
      <w:pPr>
        <w:spacing w:line="600" w:lineRule="exact"/>
        <w:rPr>
          <w:rFonts w:ascii="仿宋_GB2312" w:eastAsia="仿宋_GB2312"/>
          <w:b/>
          <w:sz w:val="32"/>
          <w:szCs w:val="32"/>
        </w:rPr>
      </w:pPr>
      <w:r>
        <w:rPr>
          <w:rFonts w:hint="eastAsia" w:ascii="仿宋_GB2312" w:eastAsia="仿宋_GB2312"/>
          <w:b/>
          <w:sz w:val="32"/>
          <w:szCs w:val="32"/>
        </w:rPr>
        <w:t xml:space="preserve">                           2020年9月23日</w:t>
      </w:r>
    </w:p>
    <w:p>
      <w:pPr>
        <w:spacing w:line="600" w:lineRule="exact"/>
        <w:rPr>
          <w:rFonts w:ascii="黑体" w:hAnsi="黑体" w:eastAsia="黑体"/>
          <w:b/>
          <w:sz w:val="32"/>
          <w:szCs w:val="32"/>
        </w:rPr>
      </w:pPr>
      <w:r>
        <w:rPr>
          <w:rFonts w:hint="eastAsia" w:ascii="黑体" w:hAnsi="黑体" w:eastAsia="黑体"/>
          <w:b/>
          <w:sz w:val="32"/>
          <w:szCs w:val="32"/>
        </w:rPr>
        <w:t>附件</w:t>
      </w:r>
    </w:p>
    <w:p>
      <w:pPr>
        <w:spacing w:line="600" w:lineRule="exact"/>
        <w:rPr>
          <w:rFonts w:ascii="仿宋_GB2312" w:eastAsia="仿宋_GB2312"/>
          <w:b/>
          <w:sz w:val="32"/>
          <w:szCs w:val="32"/>
        </w:rPr>
      </w:pPr>
    </w:p>
    <w:p>
      <w:pPr>
        <w:spacing w:line="600" w:lineRule="exact"/>
        <w:jc w:val="center"/>
        <w:rPr>
          <w:rFonts w:ascii="Times New Roman" w:hAnsi="Times New Roman" w:eastAsia="方正小标宋_GBK"/>
          <w:b/>
          <w:sz w:val="44"/>
          <w:szCs w:val="44"/>
        </w:rPr>
      </w:pPr>
      <w:r>
        <w:rPr>
          <w:rFonts w:hint="eastAsia" w:ascii="Times New Roman" w:hAnsi="方正小标宋_GBK" w:eastAsia="方正小标宋_GBK"/>
          <w:b/>
          <w:sz w:val="44"/>
          <w:szCs w:val="44"/>
        </w:rPr>
        <w:t>四川省文化产业发展促进中心         （四川省对外文化交流中心）</w:t>
      </w:r>
    </w:p>
    <w:p>
      <w:pPr>
        <w:tabs>
          <w:tab w:val="left" w:pos="2127"/>
        </w:tabs>
        <w:spacing w:line="600" w:lineRule="exact"/>
        <w:jc w:val="center"/>
        <w:rPr>
          <w:rFonts w:ascii="方正小标宋_GBK" w:hAnsi="方正小标宋_GBK" w:eastAsia="方正小标宋_GBK"/>
          <w:b/>
          <w:sz w:val="44"/>
          <w:szCs w:val="44"/>
        </w:rPr>
      </w:pPr>
      <w:r>
        <w:rPr>
          <w:rFonts w:hint="eastAsia" w:ascii="Times New Roman" w:hAnsi="方正小标宋_GBK" w:eastAsia="方正小标宋_GBK"/>
          <w:b/>
          <w:sz w:val="44"/>
          <w:szCs w:val="44"/>
        </w:rPr>
        <w:t>第十六届中国（深圳）国际文化产业博览交易会“云上文博会”</w:t>
      </w:r>
      <w:r>
        <w:rPr>
          <w:rFonts w:ascii="Times New Roman" w:hAnsi="方正小标宋_GBK" w:eastAsia="方正小标宋_GBK"/>
          <w:b/>
          <w:sz w:val="44"/>
          <w:szCs w:val="44"/>
        </w:rPr>
        <w:t>采购项目比选</w:t>
      </w:r>
      <w:r>
        <w:rPr>
          <w:rFonts w:hint="eastAsia" w:ascii="Times New Roman" w:hAnsi="方正小标宋_GBK" w:eastAsia="方正小标宋_GBK"/>
          <w:b/>
          <w:sz w:val="44"/>
          <w:szCs w:val="44"/>
        </w:rPr>
        <w:t>须知</w:t>
      </w:r>
    </w:p>
    <w:p>
      <w:pPr>
        <w:spacing w:line="600" w:lineRule="exact"/>
        <w:rPr>
          <w:rFonts w:ascii="仿宋_GB2312" w:eastAsia="仿宋_GB2312"/>
          <w:b/>
          <w:sz w:val="32"/>
          <w:szCs w:val="32"/>
        </w:rPr>
      </w:pPr>
    </w:p>
    <w:p>
      <w:pPr>
        <w:spacing w:line="600" w:lineRule="exact"/>
        <w:rPr>
          <w:rFonts w:ascii="黑体" w:hAnsi="黑体" w:eastAsia="黑体"/>
          <w:b/>
          <w:sz w:val="32"/>
          <w:szCs w:val="32"/>
        </w:rPr>
      </w:pPr>
      <w:r>
        <w:rPr>
          <w:rFonts w:hint="eastAsia" w:ascii="仿宋_GB2312" w:eastAsia="仿宋_GB2312"/>
          <w:b/>
          <w:sz w:val="32"/>
          <w:szCs w:val="32"/>
        </w:rPr>
        <w:t xml:space="preserve">    </w:t>
      </w:r>
      <w:r>
        <w:rPr>
          <w:rFonts w:hint="eastAsia" w:ascii="黑体" w:hAnsi="黑体" w:eastAsia="黑体"/>
          <w:b/>
          <w:sz w:val="32"/>
          <w:szCs w:val="32"/>
        </w:rPr>
        <w:t>一、项目基本情况</w:t>
      </w:r>
    </w:p>
    <w:p>
      <w:pPr>
        <w:spacing w:line="600" w:lineRule="exact"/>
        <w:rPr>
          <w:rFonts w:ascii="仿宋_GB2312" w:eastAsia="仿宋_GB2312"/>
          <w:b/>
          <w:sz w:val="32"/>
          <w:szCs w:val="32"/>
        </w:rPr>
      </w:pPr>
      <w:r>
        <w:rPr>
          <w:rFonts w:hint="eastAsia" w:ascii="仿宋_GB2312" w:eastAsia="仿宋_GB2312"/>
          <w:b/>
          <w:sz w:val="32"/>
          <w:szCs w:val="32"/>
        </w:rPr>
        <w:t xml:space="preserve">    （一）项目名称</w:t>
      </w:r>
    </w:p>
    <w:p>
      <w:pPr>
        <w:spacing w:line="600" w:lineRule="exact"/>
        <w:jc w:val="left"/>
        <w:rPr>
          <w:rFonts w:ascii="仿宋_GB2312" w:eastAsia="仿宋_GB2312"/>
          <w:b/>
          <w:sz w:val="32"/>
          <w:szCs w:val="32"/>
        </w:rPr>
      </w:pPr>
      <w:r>
        <w:rPr>
          <w:rFonts w:hint="eastAsia" w:ascii="仿宋_GB2312" w:eastAsia="仿宋_GB2312"/>
          <w:b/>
          <w:sz w:val="32"/>
          <w:szCs w:val="32"/>
        </w:rPr>
        <w:t xml:space="preserve">    四川省文化产业发展促进中心（四川省对外文化交流中心）第十六届中国（深圳）国际文化产业博览交易会“云上文博会”</w:t>
      </w:r>
      <w:r>
        <w:rPr>
          <w:rFonts w:ascii="仿宋_GB2312" w:eastAsia="仿宋_GB2312"/>
          <w:b/>
          <w:sz w:val="32"/>
          <w:szCs w:val="32"/>
        </w:rPr>
        <w:t>采购项目</w:t>
      </w:r>
      <w:r>
        <w:rPr>
          <w:rFonts w:hint="eastAsia" w:ascii="仿宋_GB2312" w:eastAsia="仿宋_GB2312"/>
          <w:b/>
          <w:sz w:val="32"/>
          <w:szCs w:val="32"/>
        </w:rPr>
        <w:t>。</w:t>
      </w:r>
    </w:p>
    <w:p>
      <w:pPr>
        <w:spacing w:line="600" w:lineRule="exact"/>
        <w:rPr>
          <w:rFonts w:ascii="仿宋_GB2312" w:eastAsia="仿宋_GB2312"/>
          <w:b/>
          <w:sz w:val="32"/>
          <w:szCs w:val="32"/>
        </w:rPr>
      </w:pPr>
      <w:r>
        <w:rPr>
          <w:rFonts w:hint="eastAsia" w:ascii="仿宋_GB2312" w:eastAsia="仿宋_GB2312"/>
          <w:b/>
          <w:sz w:val="32"/>
          <w:szCs w:val="32"/>
        </w:rPr>
        <w:t xml:space="preserve">    （二）采购项目简介</w:t>
      </w:r>
    </w:p>
    <w:p>
      <w:pPr>
        <w:spacing w:line="600" w:lineRule="exact"/>
        <w:rPr>
          <w:rFonts w:ascii="仿宋_GB2312" w:eastAsia="仿宋_GB2312"/>
          <w:b/>
          <w:sz w:val="32"/>
          <w:szCs w:val="32"/>
        </w:rPr>
      </w:pPr>
      <w:r>
        <w:rPr>
          <w:rFonts w:hint="eastAsia" w:ascii="仿宋_GB2312" w:eastAsia="仿宋_GB2312"/>
          <w:b/>
          <w:sz w:val="32"/>
          <w:szCs w:val="32"/>
        </w:rPr>
        <w:t xml:space="preserve">    根据采购人需求，成交供应商向采购人提供第十六届中国（深圳）国际文化产业博览交易会“云上文博会”（以下简称深圳“云博会”）虚拟展厅设计制作及相关服务。</w:t>
      </w:r>
    </w:p>
    <w:p>
      <w:pPr>
        <w:spacing w:line="600" w:lineRule="exact"/>
        <w:rPr>
          <w:rFonts w:ascii="仿宋_GB2312" w:eastAsia="仿宋_GB2312"/>
          <w:b/>
          <w:sz w:val="32"/>
          <w:szCs w:val="32"/>
        </w:rPr>
      </w:pPr>
      <w:r>
        <w:rPr>
          <w:rFonts w:hint="eastAsia" w:ascii="仿宋_GB2312" w:eastAsia="仿宋_GB2312"/>
          <w:b/>
          <w:sz w:val="32"/>
          <w:szCs w:val="32"/>
        </w:rPr>
        <w:t xml:space="preserve">    （三）报名和递交比选响应文件</w:t>
      </w:r>
    </w:p>
    <w:p>
      <w:pPr>
        <w:spacing w:line="600" w:lineRule="exact"/>
        <w:rPr>
          <w:rFonts w:ascii="仿宋_GB2312" w:eastAsia="仿宋_GB2312"/>
          <w:b/>
          <w:sz w:val="32"/>
          <w:szCs w:val="32"/>
        </w:rPr>
      </w:pPr>
      <w:r>
        <w:rPr>
          <w:rFonts w:hint="eastAsia" w:ascii="仿宋_GB2312" w:eastAsia="仿宋_GB2312"/>
          <w:b/>
          <w:sz w:val="32"/>
          <w:szCs w:val="32"/>
        </w:rPr>
        <w:t xml:space="preserve">    报名方式：将报名回执(加盖公章)发送至电子邮箱236635896@qq.com，报名截止时间：2020年9月28日18:00（北京时间）。</w:t>
      </w:r>
    </w:p>
    <w:p>
      <w:pPr>
        <w:spacing w:line="600" w:lineRule="exact"/>
        <w:rPr>
          <w:rFonts w:hint="eastAsia" w:ascii="仿宋_GB2312" w:eastAsia="仿宋_GB2312"/>
          <w:b/>
          <w:sz w:val="32"/>
          <w:szCs w:val="32"/>
          <w:lang w:val="en-US" w:eastAsia="zh-CN"/>
        </w:rPr>
      </w:pPr>
      <w:r>
        <w:rPr>
          <w:rFonts w:hint="eastAsia" w:ascii="仿宋_GB2312" w:eastAsia="仿宋_GB2312"/>
          <w:b/>
          <w:sz w:val="32"/>
          <w:szCs w:val="32"/>
        </w:rPr>
        <w:t xml:space="preserve">    递交比选响应文件截止时间：</w:t>
      </w:r>
      <w:r>
        <w:rPr>
          <w:rFonts w:hint="eastAsia" w:ascii="仿宋_GB2312" w:eastAsia="仿宋_GB2312"/>
          <w:b/>
          <w:sz w:val="32"/>
          <w:szCs w:val="32"/>
          <w:u w:val="single"/>
        </w:rPr>
        <w:t>2020年9月29日10：00</w:t>
      </w:r>
      <w:r>
        <w:rPr>
          <w:rFonts w:hint="eastAsia" w:ascii="仿宋_GB2312" w:eastAsia="仿宋_GB2312"/>
          <w:b/>
          <w:sz w:val="32"/>
          <w:szCs w:val="32"/>
        </w:rPr>
        <w:t>（北京时间）</w:t>
      </w:r>
      <w:r>
        <w:rPr>
          <w:rFonts w:hint="eastAsia" w:ascii="仿宋_GB2312" w:eastAsia="仿宋_GB2312"/>
          <w:b/>
          <w:sz w:val="32"/>
          <w:szCs w:val="32"/>
          <w:lang w:eastAsia="zh-CN"/>
        </w:rPr>
        <w:t>。</w:t>
      </w:r>
      <w:bookmarkStart w:id="0" w:name="_GoBack"/>
      <w:bookmarkEnd w:id="0"/>
    </w:p>
    <w:p>
      <w:pPr>
        <w:spacing w:line="600" w:lineRule="exact"/>
        <w:rPr>
          <w:rFonts w:ascii="仿宋_GB2312" w:eastAsia="仿宋_GB2312"/>
          <w:b/>
          <w:sz w:val="32"/>
          <w:szCs w:val="32"/>
        </w:rPr>
      </w:pPr>
      <w:r>
        <w:rPr>
          <w:rFonts w:hint="eastAsia" w:ascii="仿宋_GB2312" w:eastAsia="仿宋_GB2312"/>
          <w:b/>
          <w:sz w:val="32"/>
          <w:szCs w:val="32"/>
        </w:rPr>
        <w:t xml:space="preserve">    递交比选响应文件地点、比选地点：</w:t>
      </w:r>
      <w:r>
        <w:rPr>
          <w:rFonts w:hint="eastAsia" w:ascii="仿宋_GB2312" w:eastAsia="仿宋_GB2312"/>
          <w:b/>
          <w:sz w:val="32"/>
          <w:szCs w:val="32"/>
          <w:u w:val="single"/>
        </w:rPr>
        <w:t>成都市青羊区东城根上街99号春华楼518室</w:t>
      </w:r>
      <w:r>
        <w:rPr>
          <w:rFonts w:hint="eastAsia" w:ascii="仿宋_GB2312" w:eastAsia="仿宋_GB2312"/>
          <w:b/>
          <w:sz w:val="32"/>
          <w:szCs w:val="32"/>
        </w:rPr>
        <w:t>。</w:t>
      </w:r>
    </w:p>
    <w:p>
      <w:pPr>
        <w:spacing w:line="600" w:lineRule="exact"/>
        <w:rPr>
          <w:rFonts w:ascii="仿宋_GB2312" w:eastAsia="仿宋_GB2312"/>
          <w:b/>
          <w:sz w:val="32"/>
          <w:szCs w:val="32"/>
        </w:rPr>
      </w:pPr>
      <w:r>
        <w:rPr>
          <w:rFonts w:hint="eastAsia" w:ascii="仿宋_GB2312" w:eastAsia="仿宋_GB2312"/>
          <w:b/>
          <w:sz w:val="32"/>
          <w:szCs w:val="32"/>
        </w:rPr>
        <w:t xml:space="preserve">    联系人：黄唬，联系电话：86601270、18628088720</w:t>
      </w:r>
    </w:p>
    <w:p>
      <w:pPr>
        <w:spacing w:line="600" w:lineRule="exact"/>
        <w:ind w:firstLine="645"/>
        <w:rPr>
          <w:rFonts w:ascii="仿宋_GB2312" w:eastAsia="仿宋_GB2312"/>
          <w:b/>
          <w:sz w:val="32"/>
          <w:szCs w:val="32"/>
        </w:rPr>
      </w:pPr>
      <w:r>
        <w:rPr>
          <w:rFonts w:hint="eastAsia" w:ascii="仿宋_GB2312" w:eastAsia="仿宋_GB2312"/>
          <w:b/>
          <w:sz w:val="32"/>
          <w:szCs w:val="32"/>
        </w:rPr>
        <w:t>（四）递交比选响应文件要求</w:t>
      </w:r>
    </w:p>
    <w:p>
      <w:pPr>
        <w:spacing w:line="600" w:lineRule="exact"/>
        <w:ind w:firstLine="645"/>
        <w:rPr>
          <w:rFonts w:ascii="仿宋_GB2312" w:eastAsia="仿宋_GB2312"/>
          <w:b/>
          <w:sz w:val="32"/>
          <w:szCs w:val="32"/>
        </w:rPr>
      </w:pPr>
      <w:r>
        <w:rPr>
          <w:rFonts w:hint="eastAsia" w:ascii="仿宋_GB2312" w:eastAsia="仿宋_GB2312"/>
          <w:b/>
          <w:sz w:val="32"/>
          <w:szCs w:val="32"/>
        </w:rPr>
        <w:t>正本1份，副本4份。</w:t>
      </w:r>
    </w:p>
    <w:p>
      <w:pPr>
        <w:spacing w:line="600" w:lineRule="exact"/>
        <w:rPr>
          <w:rFonts w:ascii="仿宋_GB2312" w:eastAsia="仿宋_GB2312"/>
          <w:b/>
          <w:sz w:val="32"/>
          <w:szCs w:val="32"/>
        </w:rPr>
      </w:pPr>
      <w:r>
        <w:rPr>
          <w:rFonts w:hint="eastAsia" w:ascii="仿宋_GB2312" w:eastAsia="仿宋_GB2312"/>
          <w:b/>
          <w:sz w:val="32"/>
          <w:szCs w:val="32"/>
        </w:rPr>
        <w:t xml:space="preserve">    （五）其他事项</w:t>
      </w:r>
    </w:p>
    <w:p>
      <w:pPr>
        <w:spacing w:line="600" w:lineRule="exact"/>
        <w:rPr>
          <w:rFonts w:ascii="仿宋_GB2312" w:eastAsia="仿宋_GB2312"/>
          <w:b/>
          <w:sz w:val="32"/>
          <w:szCs w:val="32"/>
        </w:rPr>
      </w:pPr>
      <w:r>
        <w:rPr>
          <w:rFonts w:hint="eastAsia" w:ascii="仿宋_GB2312" w:eastAsia="仿宋_GB2312"/>
          <w:b/>
          <w:sz w:val="32"/>
          <w:szCs w:val="32"/>
        </w:rPr>
        <w:t xml:space="preserve">    1.本项目不允许联合体参加比选。</w:t>
      </w:r>
    </w:p>
    <w:p>
      <w:pPr>
        <w:spacing w:line="600" w:lineRule="exact"/>
        <w:rPr>
          <w:rFonts w:ascii="仿宋_GB2312" w:eastAsia="仿宋_GB2312"/>
          <w:b/>
          <w:sz w:val="32"/>
          <w:szCs w:val="32"/>
        </w:rPr>
      </w:pPr>
      <w:r>
        <w:rPr>
          <w:rFonts w:hint="eastAsia" w:ascii="仿宋_GB2312" w:eastAsia="仿宋_GB2312"/>
          <w:b/>
          <w:sz w:val="32"/>
          <w:szCs w:val="32"/>
        </w:rPr>
        <w:t xml:space="preserve">    2.比选响应文件请用信封密封递交，评审前信封破损的将视为无效响应文件。</w:t>
      </w:r>
    </w:p>
    <w:p>
      <w:pPr>
        <w:spacing w:line="600" w:lineRule="exact"/>
        <w:rPr>
          <w:rFonts w:ascii="仿宋_GB2312" w:eastAsia="仿宋_GB2312"/>
          <w:b/>
          <w:sz w:val="32"/>
          <w:szCs w:val="32"/>
        </w:rPr>
      </w:pPr>
      <w:r>
        <w:rPr>
          <w:rFonts w:hint="eastAsia" w:ascii="仿宋_GB2312" w:eastAsia="仿宋_GB2312"/>
          <w:b/>
          <w:sz w:val="32"/>
          <w:szCs w:val="32"/>
        </w:rPr>
        <w:t xml:space="preserve">    3.本项目不收取比选保障金和履约保障金。</w:t>
      </w:r>
    </w:p>
    <w:p>
      <w:pPr>
        <w:spacing w:line="600" w:lineRule="exact"/>
        <w:rPr>
          <w:rFonts w:ascii="仿宋_GB2312" w:eastAsia="仿宋_GB2312"/>
          <w:b/>
          <w:sz w:val="32"/>
          <w:szCs w:val="32"/>
        </w:rPr>
      </w:pPr>
      <w:r>
        <w:rPr>
          <w:rFonts w:hint="eastAsia" w:ascii="仿宋_GB2312" w:eastAsia="仿宋_GB2312"/>
          <w:b/>
          <w:sz w:val="32"/>
          <w:szCs w:val="32"/>
        </w:rPr>
        <w:t xml:space="preserve">    4.如需投诉质疑，请与省委宣传部机关纪委联系，联系电话：028-63093352。</w:t>
      </w:r>
    </w:p>
    <w:p>
      <w:pPr>
        <w:spacing w:line="600" w:lineRule="exact"/>
        <w:rPr>
          <w:rFonts w:ascii="黑体" w:hAnsi="黑体" w:eastAsia="黑体"/>
          <w:b/>
          <w:sz w:val="32"/>
          <w:szCs w:val="32"/>
        </w:rPr>
      </w:pPr>
      <w:r>
        <w:rPr>
          <w:rFonts w:hint="eastAsia" w:ascii="黑体" w:hAnsi="黑体" w:eastAsia="黑体"/>
          <w:b/>
          <w:sz w:val="32"/>
          <w:szCs w:val="32"/>
        </w:rPr>
        <w:t xml:space="preserve">    二、预算限额</w:t>
      </w:r>
    </w:p>
    <w:p>
      <w:pPr>
        <w:spacing w:line="600" w:lineRule="exact"/>
        <w:rPr>
          <w:rFonts w:ascii="仿宋_GB2312" w:eastAsia="仿宋_GB2312"/>
          <w:b/>
          <w:sz w:val="32"/>
          <w:szCs w:val="32"/>
        </w:rPr>
      </w:pPr>
      <w:r>
        <w:rPr>
          <w:rFonts w:hint="eastAsia" w:ascii="仿宋_GB2312" w:eastAsia="仿宋_GB2312"/>
          <w:b/>
          <w:sz w:val="32"/>
          <w:szCs w:val="32"/>
        </w:rPr>
        <w:t xml:space="preserve">    预算限额20万元（超过预算限额的报价将被作为无效报价）。</w:t>
      </w:r>
    </w:p>
    <w:p>
      <w:pPr>
        <w:spacing w:line="600" w:lineRule="exact"/>
        <w:rPr>
          <w:rFonts w:ascii="黑体" w:hAnsi="黑体" w:eastAsia="黑体"/>
          <w:b/>
          <w:sz w:val="32"/>
          <w:szCs w:val="32"/>
        </w:rPr>
      </w:pPr>
      <w:r>
        <w:rPr>
          <w:rFonts w:hint="eastAsia" w:ascii="黑体" w:hAnsi="黑体" w:eastAsia="黑体"/>
          <w:b/>
          <w:sz w:val="32"/>
          <w:szCs w:val="32"/>
        </w:rPr>
        <w:t xml:space="preserve">    三、供应商参加比选活动应具备的条件</w:t>
      </w:r>
    </w:p>
    <w:p>
      <w:pPr>
        <w:spacing w:line="600" w:lineRule="exact"/>
        <w:ind w:firstLine="643" w:firstLineChars="200"/>
        <w:rPr>
          <w:rFonts w:ascii="仿宋_GB2312" w:eastAsia="仿宋_GB2312"/>
          <w:b/>
          <w:sz w:val="32"/>
          <w:szCs w:val="32"/>
        </w:rPr>
      </w:pPr>
      <w:r>
        <w:rPr>
          <w:rFonts w:hint="eastAsia" w:ascii="仿宋_GB2312" w:eastAsia="仿宋_GB2312"/>
          <w:b/>
          <w:sz w:val="32"/>
          <w:szCs w:val="32"/>
        </w:rPr>
        <w:t>（一）符合《中华人民共和国政府采购法》第二十二条规定的条件：</w:t>
      </w:r>
    </w:p>
    <w:p>
      <w:pPr>
        <w:spacing w:line="600" w:lineRule="exact"/>
        <w:ind w:firstLine="643" w:firstLineChars="200"/>
        <w:rPr>
          <w:rFonts w:ascii="仿宋_GB2312" w:eastAsia="仿宋_GB2312"/>
          <w:b/>
          <w:sz w:val="32"/>
          <w:szCs w:val="32"/>
        </w:rPr>
      </w:pPr>
      <w:r>
        <w:rPr>
          <w:rFonts w:hint="eastAsia" w:ascii="仿宋_GB2312" w:eastAsia="仿宋_GB2312"/>
          <w:b/>
          <w:sz w:val="32"/>
          <w:szCs w:val="32"/>
        </w:rPr>
        <w:t>1.具有独立承担民事责任的能力；</w:t>
      </w:r>
    </w:p>
    <w:p>
      <w:pPr>
        <w:spacing w:line="600" w:lineRule="exact"/>
        <w:ind w:firstLine="643" w:firstLineChars="200"/>
        <w:rPr>
          <w:rFonts w:ascii="仿宋_GB2312" w:eastAsia="仿宋_GB2312"/>
          <w:b/>
          <w:sz w:val="32"/>
          <w:szCs w:val="32"/>
        </w:rPr>
      </w:pPr>
      <w:r>
        <w:rPr>
          <w:rFonts w:hint="eastAsia" w:ascii="仿宋_GB2312" w:eastAsia="仿宋_GB2312"/>
          <w:b/>
          <w:sz w:val="32"/>
          <w:szCs w:val="32"/>
        </w:rPr>
        <w:t>2.具有良好的商业信誉和健全的财务会计制度；</w:t>
      </w:r>
    </w:p>
    <w:p>
      <w:pPr>
        <w:spacing w:line="600" w:lineRule="exact"/>
        <w:ind w:firstLine="643" w:firstLineChars="200"/>
        <w:rPr>
          <w:rFonts w:ascii="仿宋_GB2312" w:eastAsia="仿宋_GB2312"/>
          <w:b/>
          <w:sz w:val="32"/>
          <w:szCs w:val="32"/>
        </w:rPr>
      </w:pPr>
      <w:r>
        <w:rPr>
          <w:rFonts w:hint="eastAsia" w:ascii="仿宋_GB2312" w:eastAsia="仿宋_GB2312"/>
          <w:b/>
          <w:sz w:val="32"/>
          <w:szCs w:val="32"/>
        </w:rPr>
        <w:t>3.具有履行合同所必需的设备和专业技术能力；</w:t>
      </w:r>
    </w:p>
    <w:p>
      <w:pPr>
        <w:spacing w:line="600" w:lineRule="exact"/>
        <w:ind w:firstLine="643" w:firstLineChars="200"/>
        <w:rPr>
          <w:rFonts w:ascii="仿宋_GB2312" w:eastAsia="仿宋_GB2312"/>
          <w:b/>
          <w:sz w:val="32"/>
          <w:szCs w:val="32"/>
        </w:rPr>
      </w:pPr>
      <w:r>
        <w:rPr>
          <w:rFonts w:hint="eastAsia" w:ascii="仿宋_GB2312" w:eastAsia="仿宋_GB2312"/>
          <w:b/>
          <w:sz w:val="32"/>
          <w:szCs w:val="32"/>
        </w:rPr>
        <w:t>4.有依法缴纳税收和社会保障资金的良好记录；</w:t>
      </w:r>
    </w:p>
    <w:p>
      <w:pPr>
        <w:spacing w:line="600" w:lineRule="exact"/>
        <w:ind w:firstLine="643" w:firstLineChars="200"/>
        <w:rPr>
          <w:rFonts w:ascii="仿宋_GB2312" w:eastAsia="仿宋_GB2312"/>
          <w:b/>
          <w:sz w:val="32"/>
          <w:szCs w:val="32"/>
        </w:rPr>
      </w:pPr>
      <w:r>
        <w:rPr>
          <w:rFonts w:hint="eastAsia" w:ascii="仿宋_GB2312" w:eastAsia="仿宋_GB2312"/>
          <w:b/>
          <w:sz w:val="32"/>
          <w:szCs w:val="32"/>
        </w:rPr>
        <w:t>5.参加政府采购活动前三年内，在经营活动中没有重大违法记录；</w:t>
      </w:r>
    </w:p>
    <w:p>
      <w:pPr>
        <w:spacing w:line="600" w:lineRule="exact"/>
        <w:ind w:firstLine="643" w:firstLineChars="200"/>
        <w:rPr>
          <w:rFonts w:ascii="仿宋_GB2312" w:eastAsia="仿宋_GB2312"/>
          <w:b/>
          <w:sz w:val="32"/>
          <w:szCs w:val="32"/>
        </w:rPr>
      </w:pPr>
      <w:r>
        <w:rPr>
          <w:rFonts w:hint="eastAsia" w:ascii="仿宋_GB2312" w:eastAsia="仿宋_GB2312"/>
          <w:b/>
          <w:sz w:val="32"/>
          <w:szCs w:val="32"/>
        </w:rPr>
        <w:t>6.法律、行政法规规定的其他条件。</w:t>
      </w:r>
    </w:p>
    <w:p>
      <w:pPr>
        <w:spacing w:line="600" w:lineRule="exact"/>
        <w:ind w:firstLine="643" w:firstLineChars="200"/>
        <w:rPr>
          <w:rFonts w:ascii="仿宋_GB2312" w:eastAsia="仿宋_GB2312"/>
          <w:b/>
          <w:sz w:val="32"/>
          <w:szCs w:val="32"/>
        </w:rPr>
      </w:pPr>
      <w:r>
        <w:rPr>
          <w:rFonts w:hint="eastAsia" w:ascii="仿宋_GB2312" w:eastAsia="仿宋_GB2312"/>
          <w:b/>
          <w:sz w:val="32"/>
          <w:szCs w:val="32"/>
        </w:rPr>
        <w:t>7.具有虚拟展厅（展馆）设计制作经验及成功案例。</w:t>
      </w:r>
    </w:p>
    <w:p>
      <w:pPr>
        <w:spacing w:line="600" w:lineRule="exact"/>
        <w:rPr>
          <w:rFonts w:ascii="黑体" w:hAnsi="黑体" w:eastAsia="黑体"/>
          <w:b/>
          <w:sz w:val="32"/>
          <w:szCs w:val="32"/>
        </w:rPr>
      </w:pPr>
      <w:r>
        <w:rPr>
          <w:rFonts w:hint="eastAsia" w:ascii="黑体" w:hAnsi="黑体" w:eastAsia="黑体"/>
          <w:b/>
          <w:sz w:val="32"/>
          <w:szCs w:val="32"/>
        </w:rPr>
        <w:t xml:space="preserve">    四、比选项目的具体要求</w:t>
      </w:r>
    </w:p>
    <w:p>
      <w:pPr>
        <w:spacing w:line="600" w:lineRule="exact"/>
        <w:rPr>
          <w:rFonts w:ascii="楷体_GB2312" w:eastAsia="楷体_GB2312"/>
          <w:b/>
          <w:sz w:val="32"/>
          <w:szCs w:val="32"/>
        </w:rPr>
      </w:pPr>
      <w:r>
        <w:rPr>
          <w:rFonts w:hint="eastAsia" w:ascii="仿宋_GB2312" w:eastAsia="仿宋_GB2312"/>
          <w:b/>
          <w:sz w:val="32"/>
          <w:szCs w:val="32"/>
        </w:rPr>
        <w:t xml:space="preserve">    </w:t>
      </w:r>
      <w:r>
        <w:rPr>
          <w:rFonts w:hint="eastAsia" w:ascii="楷体_GB2312" w:eastAsia="楷体_GB2312"/>
          <w:b/>
          <w:sz w:val="32"/>
          <w:szCs w:val="32"/>
        </w:rPr>
        <w:t>（一）服务内容</w:t>
      </w:r>
    </w:p>
    <w:p>
      <w:pPr>
        <w:spacing w:line="600" w:lineRule="exact"/>
        <w:rPr>
          <w:rFonts w:ascii="仿宋_GB2312" w:eastAsia="仿宋_GB2312"/>
          <w:b/>
          <w:sz w:val="32"/>
          <w:szCs w:val="32"/>
        </w:rPr>
      </w:pPr>
      <w:r>
        <w:rPr>
          <w:rFonts w:hint="eastAsia" w:ascii="仿宋_GB2312" w:eastAsia="仿宋_GB2312"/>
          <w:b/>
          <w:sz w:val="32"/>
          <w:szCs w:val="32"/>
        </w:rPr>
        <w:t xml:space="preserve">    1.深圳“云博会”四川虚拟展厅设计制作。</w:t>
      </w:r>
    </w:p>
    <w:p>
      <w:pPr>
        <w:spacing w:line="600" w:lineRule="exact"/>
        <w:ind w:firstLine="707" w:firstLineChars="220"/>
        <w:rPr>
          <w:rFonts w:ascii="仿宋_GB2312" w:eastAsia="仿宋_GB2312"/>
          <w:b/>
          <w:sz w:val="32"/>
          <w:szCs w:val="32"/>
        </w:rPr>
      </w:pPr>
      <w:r>
        <w:rPr>
          <w:rFonts w:hint="eastAsia" w:ascii="仿宋_GB2312" w:eastAsia="仿宋_GB2312"/>
          <w:b/>
          <w:sz w:val="32"/>
          <w:szCs w:val="32"/>
        </w:rPr>
        <w:t>参展主题：</w:t>
      </w:r>
    </w:p>
    <w:p>
      <w:pPr>
        <w:spacing w:line="600" w:lineRule="exact"/>
        <w:ind w:firstLine="707" w:firstLineChars="220"/>
        <w:rPr>
          <w:rFonts w:ascii="仿宋_GB2312" w:eastAsia="仿宋_GB2312"/>
          <w:b/>
          <w:sz w:val="32"/>
          <w:szCs w:val="32"/>
        </w:rPr>
      </w:pPr>
      <w:r>
        <w:rPr>
          <w:rFonts w:hint="eastAsia" w:ascii="仿宋_GB2312" w:eastAsia="仿宋_GB2312"/>
          <w:b/>
          <w:sz w:val="32"/>
          <w:szCs w:val="32"/>
        </w:rPr>
        <w:t>魅力天府·奋进四川</w:t>
      </w:r>
    </w:p>
    <w:p>
      <w:pPr>
        <w:spacing w:line="600" w:lineRule="exact"/>
        <w:ind w:firstLine="707" w:firstLineChars="220"/>
        <w:rPr>
          <w:rFonts w:ascii="仿宋_GB2312" w:eastAsia="仿宋_GB2312"/>
          <w:b/>
          <w:sz w:val="32"/>
          <w:szCs w:val="32"/>
        </w:rPr>
      </w:pPr>
      <w:r>
        <w:rPr>
          <w:rFonts w:hint="eastAsia" w:ascii="仿宋_GB2312" w:eastAsia="仿宋_GB2312"/>
          <w:b/>
          <w:sz w:val="32"/>
          <w:szCs w:val="32"/>
        </w:rPr>
        <w:t> 参展内容：</w:t>
      </w:r>
    </w:p>
    <w:p>
      <w:pPr>
        <w:spacing w:line="600" w:lineRule="exact"/>
        <w:ind w:firstLine="707" w:firstLineChars="220"/>
        <w:rPr>
          <w:rFonts w:ascii="仿宋_GB2312" w:eastAsia="仿宋_GB2312"/>
          <w:b/>
          <w:sz w:val="32"/>
          <w:szCs w:val="32"/>
        </w:rPr>
      </w:pPr>
      <w:r>
        <w:rPr>
          <w:rFonts w:hint="eastAsia" w:ascii="仿宋_GB2312" w:eastAsia="仿宋_GB2312"/>
          <w:b/>
          <w:sz w:val="32"/>
          <w:szCs w:val="32"/>
        </w:rPr>
        <w:t>（1）文旅抗疫文化扶贫展示单元。重点展示文化产业在扶贫攻坚、抗击疫情等领域发挥的重大作用，展现四川文旅企业强大生命力，为2020年决战脱贫攻坚决胜全面建成小康社会提供强大保障。</w:t>
      </w:r>
    </w:p>
    <w:p>
      <w:pPr>
        <w:spacing w:line="600" w:lineRule="exact"/>
        <w:ind w:firstLine="707" w:firstLineChars="220"/>
        <w:rPr>
          <w:rFonts w:ascii="仿宋_GB2312" w:eastAsia="仿宋_GB2312"/>
          <w:b/>
          <w:sz w:val="32"/>
          <w:szCs w:val="32"/>
        </w:rPr>
      </w:pPr>
      <w:r>
        <w:rPr>
          <w:rFonts w:hint="eastAsia" w:ascii="仿宋_GB2312" w:eastAsia="仿宋_GB2312"/>
          <w:b/>
          <w:sz w:val="32"/>
          <w:szCs w:val="32"/>
        </w:rPr>
        <w:t>（2）文化高质量发展展示单元。重点展示我省在文化消费、文化金融、文化科技、产业招商、IP孵化等领域的最新成果，展现四川文化产业不断探索、不断创新、不断提质增效的发展历程。</w:t>
      </w:r>
    </w:p>
    <w:p>
      <w:pPr>
        <w:spacing w:line="600" w:lineRule="exact"/>
        <w:ind w:firstLine="707" w:firstLineChars="220"/>
        <w:rPr>
          <w:rFonts w:ascii="仿宋_GB2312" w:eastAsia="仿宋_GB2312"/>
          <w:b/>
          <w:sz w:val="32"/>
          <w:szCs w:val="32"/>
        </w:rPr>
      </w:pPr>
      <w:r>
        <w:rPr>
          <w:rFonts w:hint="eastAsia" w:ascii="仿宋_GB2312" w:eastAsia="仿宋_GB2312"/>
          <w:b/>
          <w:sz w:val="32"/>
          <w:szCs w:val="32"/>
        </w:rPr>
        <w:t>（3）天府三九大展示单元。重点展示“三九大”文化IP在文博文创等领域面向市场新开发生产的文化产品和正在实施的文旅项目，展示古蜀文化风采、熊猫时尚风采、藏羌彝民族风采。</w:t>
      </w:r>
    </w:p>
    <w:p>
      <w:pPr>
        <w:spacing w:line="600" w:lineRule="exact"/>
        <w:ind w:firstLine="707" w:firstLineChars="220"/>
        <w:rPr>
          <w:rFonts w:ascii="仿宋_GB2312" w:eastAsia="仿宋_GB2312"/>
          <w:b/>
          <w:sz w:val="32"/>
          <w:szCs w:val="32"/>
        </w:rPr>
      </w:pPr>
      <w:r>
        <w:rPr>
          <w:rFonts w:hint="eastAsia" w:ascii="仿宋_GB2312" w:eastAsia="仿宋_GB2312"/>
          <w:b/>
          <w:sz w:val="32"/>
          <w:szCs w:val="32"/>
        </w:rPr>
        <w:t>（4）多彩地市州展示单元。展示我省21个地市州利用六大资源、结合文化创意生产推广的特色文创产品和重点文化旅游项目，助力乡村文化建设和县域文化产业发展。</w:t>
      </w:r>
    </w:p>
    <w:p>
      <w:pPr>
        <w:spacing w:line="600" w:lineRule="exact"/>
        <w:ind w:firstLine="707" w:firstLineChars="220"/>
        <w:rPr>
          <w:rFonts w:ascii="仿宋_GB2312" w:eastAsia="仿宋_GB2312"/>
          <w:b/>
          <w:sz w:val="32"/>
          <w:szCs w:val="32"/>
        </w:rPr>
      </w:pPr>
      <w:r>
        <w:rPr>
          <w:rFonts w:hint="eastAsia" w:ascii="仿宋_GB2312" w:eastAsia="仿宋_GB2312"/>
          <w:b/>
          <w:sz w:val="32"/>
          <w:szCs w:val="32"/>
        </w:rPr>
        <w:t>（5）巴蜀文创汇展示单元。 以历史名人为代表的巴蜀文化文旅产品。重点展示实施历史名人文化传承创新工程中推出的特色文创产品和其它具有巴蜀特色的文创非遗产品。</w:t>
      </w:r>
    </w:p>
    <w:p>
      <w:pPr>
        <w:spacing w:line="600" w:lineRule="exact"/>
        <w:ind w:firstLine="707" w:firstLineChars="220"/>
        <w:rPr>
          <w:rFonts w:ascii="仿宋_GB2312" w:eastAsia="仿宋_GB2312"/>
          <w:b/>
          <w:sz w:val="32"/>
          <w:szCs w:val="32"/>
        </w:rPr>
      </w:pPr>
      <w:r>
        <w:rPr>
          <w:rFonts w:hint="eastAsia" w:ascii="仿宋_GB2312" w:eastAsia="仿宋_GB2312"/>
          <w:b/>
          <w:sz w:val="32"/>
          <w:szCs w:val="32"/>
        </w:rPr>
        <w:t> 参展企业：</w:t>
      </w:r>
    </w:p>
    <w:p>
      <w:pPr>
        <w:spacing w:line="600" w:lineRule="exact"/>
        <w:ind w:firstLine="707" w:firstLineChars="220"/>
        <w:rPr>
          <w:rFonts w:ascii="仿宋_GB2312" w:eastAsia="仿宋_GB2312"/>
          <w:b/>
          <w:sz w:val="32"/>
          <w:szCs w:val="32"/>
        </w:rPr>
      </w:pPr>
      <w:r>
        <w:rPr>
          <w:rFonts w:hint="eastAsia" w:ascii="仿宋_GB2312" w:eastAsia="仿宋_GB2312"/>
          <w:b/>
          <w:sz w:val="32"/>
          <w:szCs w:val="32"/>
        </w:rPr>
        <w:t>约30家企业（单位）。</w:t>
      </w:r>
    </w:p>
    <w:p>
      <w:pPr>
        <w:spacing w:line="600" w:lineRule="exact"/>
        <w:ind w:firstLine="707" w:firstLineChars="220"/>
        <w:rPr>
          <w:rFonts w:ascii="仿宋_GB2312" w:eastAsia="仿宋_GB2312"/>
          <w:b/>
          <w:sz w:val="32"/>
          <w:szCs w:val="32"/>
        </w:rPr>
      </w:pPr>
      <w:r>
        <w:rPr>
          <w:rFonts w:hint="eastAsia" w:ascii="仿宋_GB2312" w:eastAsia="仿宋_GB2312"/>
          <w:b/>
          <w:sz w:val="32"/>
          <w:szCs w:val="32"/>
        </w:rPr>
        <w:t> 展品数量：</w:t>
      </w:r>
    </w:p>
    <w:p>
      <w:pPr>
        <w:spacing w:line="600" w:lineRule="exact"/>
        <w:ind w:firstLine="707" w:firstLineChars="220"/>
        <w:rPr>
          <w:rFonts w:ascii="仿宋_GB2312" w:eastAsia="仿宋_GB2312"/>
          <w:b/>
          <w:sz w:val="32"/>
          <w:szCs w:val="32"/>
        </w:rPr>
      </w:pPr>
      <w:r>
        <w:rPr>
          <w:rFonts w:hint="eastAsia" w:ascii="仿宋_GB2312" w:eastAsia="仿宋_GB2312"/>
          <w:b/>
          <w:sz w:val="32"/>
          <w:szCs w:val="32"/>
        </w:rPr>
        <w:t>约200个（件）项目、产品。</w:t>
      </w:r>
    </w:p>
    <w:p>
      <w:pPr>
        <w:spacing w:line="600" w:lineRule="exact"/>
        <w:rPr>
          <w:rFonts w:ascii="仿宋_GB2312" w:eastAsia="仿宋_GB2312"/>
          <w:b/>
          <w:sz w:val="32"/>
          <w:szCs w:val="32"/>
        </w:rPr>
      </w:pPr>
      <w:r>
        <w:rPr>
          <w:rFonts w:hint="eastAsia" w:ascii="仿宋_GB2312" w:eastAsia="仿宋_GB2312"/>
          <w:b/>
          <w:sz w:val="32"/>
          <w:szCs w:val="32"/>
        </w:rPr>
        <w:t xml:space="preserve">    2.负责与深圳国际文化产业博览交易有限公司对接展览平台端口及数据上传工作。</w:t>
      </w:r>
    </w:p>
    <w:p>
      <w:pPr>
        <w:spacing w:line="600" w:lineRule="exact"/>
        <w:rPr>
          <w:rFonts w:ascii="楷体_GB2312" w:eastAsia="楷体_GB2312"/>
          <w:b/>
          <w:sz w:val="32"/>
          <w:szCs w:val="32"/>
        </w:rPr>
      </w:pPr>
      <w:r>
        <w:rPr>
          <w:rFonts w:hint="eastAsia" w:ascii="仿宋_GB2312" w:eastAsia="仿宋_GB2312"/>
          <w:b/>
          <w:sz w:val="32"/>
          <w:szCs w:val="32"/>
        </w:rPr>
        <w:t xml:space="preserve">    </w:t>
      </w:r>
      <w:r>
        <w:rPr>
          <w:rFonts w:hint="eastAsia" w:ascii="楷体_GB2312" w:eastAsia="楷体_GB2312"/>
          <w:b/>
          <w:sz w:val="32"/>
          <w:szCs w:val="32"/>
        </w:rPr>
        <w:t>（二）、比选响应文件格式</w:t>
      </w:r>
    </w:p>
    <w:p>
      <w:pPr>
        <w:spacing w:line="600" w:lineRule="exact"/>
        <w:rPr>
          <w:rFonts w:ascii="仿宋_GB2312" w:eastAsia="仿宋_GB2312"/>
          <w:b/>
          <w:sz w:val="32"/>
          <w:szCs w:val="32"/>
        </w:rPr>
      </w:pPr>
      <w:r>
        <w:rPr>
          <w:rFonts w:hint="eastAsia" w:ascii="仿宋_GB2312" w:eastAsia="仿宋_GB2312"/>
          <w:b/>
          <w:sz w:val="32"/>
          <w:szCs w:val="32"/>
        </w:rPr>
        <w:t xml:space="preserve">    1.供应商应提交营业执照、税务登记证、组织机构代码证（或具有统一社会信用代码的营业执照）、法定代表人身份证复印件或法定代表人授权委托书原件及被委托人身份复印件、2019年完税证明、无重大违法记录的声明函，“信用中国”网站查询未入失信被执行人和重大税收违法案件当事人名单的截图。以上须提供一套加盖公司鲜章的复印件。</w:t>
      </w:r>
    </w:p>
    <w:p>
      <w:pPr>
        <w:spacing w:line="600" w:lineRule="exact"/>
        <w:rPr>
          <w:rFonts w:ascii="仿宋_GB2312" w:eastAsia="仿宋_GB2312"/>
          <w:b/>
          <w:sz w:val="32"/>
          <w:szCs w:val="32"/>
        </w:rPr>
      </w:pPr>
      <w:r>
        <w:rPr>
          <w:rFonts w:hint="eastAsia" w:ascii="仿宋_GB2312" w:eastAsia="仿宋_GB2312"/>
          <w:b/>
          <w:sz w:val="32"/>
          <w:szCs w:val="32"/>
        </w:rPr>
        <w:t xml:space="preserve">    2.本项目报价。</w:t>
      </w:r>
    </w:p>
    <w:p>
      <w:pPr>
        <w:spacing w:line="600" w:lineRule="exact"/>
        <w:rPr>
          <w:rFonts w:ascii="仿宋_GB2312" w:eastAsia="仿宋_GB2312"/>
          <w:b/>
          <w:sz w:val="32"/>
          <w:szCs w:val="32"/>
        </w:rPr>
      </w:pPr>
      <w:r>
        <w:rPr>
          <w:rFonts w:hint="eastAsia" w:ascii="仿宋_GB2312" w:eastAsia="仿宋_GB2312"/>
          <w:b/>
          <w:sz w:val="32"/>
          <w:szCs w:val="32"/>
        </w:rPr>
        <w:t xml:space="preserve">    3.本项目服务方案。</w:t>
      </w:r>
    </w:p>
    <w:p>
      <w:pPr>
        <w:spacing w:line="600" w:lineRule="exact"/>
        <w:rPr>
          <w:rFonts w:ascii="仿宋_GB2312" w:eastAsia="仿宋_GB2312"/>
          <w:b/>
          <w:sz w:val="32"/>
          <w:szCs w:val="32"/>
        </w:rPr>
      </w:pPr>
      <w:r>
        <w:rPr>
          <w:rFonts w:hint="eastAsia" w:ascii="仿宋_GB2312" w:eastAsia="仿宋_GB2312"/>
          <w:b/>
          <w:sz w:val="32"/>
          <w:szCs w:val="32"/>
        </w:rPr>
        <w:t xml:space="preserve">    4.具有类似项目业绩情况。</w:t>
      </w:r>
    </w:p>
    <w:p>
      <w:pPr>
        <w:spacing w:line="600" w:lineRule="exact"/>
        <w:rPr>
          <w:rFonts w:ascii="楷体_GB2312" w:eastAsia="楷体_GB2312"/>
          <w:b/>
          <w:sz w:val="32"/>
          <w:szCs w:val="32"/>
        </w:rPr>
      </w:pPr>
      <w:r>
        <w:rPr>
          <w:rFonts w:hint="eastAsia" w:ascii="楷体_GB2312" w:eastAsia="楷体_GB2312"/>
          <w:b/>
          <w:sz w:val="32"/>
          <w:szCs w:val="32"/>
        </w:rPr>
        <w:t xml:space="preserve">    （三）、比选评审方案</w:t>
      </w:r>
    </w:p>
    <w:p>
      <w:pPr>
        <w:spacing w:line="600" w:lineRule="exact"/>
        <w:rPr>
          <w:rFonts w:ascii="仿宋_GB2312" w:eastAsia="仿宋_GB2312"/>
          <w:b/>
          <w:sz w:val="32"/>
          <w:szCs w:val="32"/>
        </w:rPr>
      </w:pPr>
      <w:r>
        <w:rPr>
          <w:rFonts w:hint="eastAsia" w:ascii="仿宋_GB2312" w:eastAsia="仿宋_GB2312"/>
          <w:b/>
          <w:sz w:val="32"/>
          <w:szCs w:val="32"/>
        </w:rPr>
        <w:t xml:space="preserve">    本次比选活动遵循公平、公正、科学、择优的原则，由采购人内部产生采购比选评审小组，其中评审人员5人，现场监督1人。比选不设陈述和磋商环节，不进行二次报价，比选响应文件报价即为最终报价。比选评比采用综合评审法，综合评分最高的确定为成交供应商。采购人将在比选结束后5个工作日内发出中选通知书并签订合同。</w:t>
      </w:r>
    </w:p>
    <w:p>
      <w:pPr>
        <w:spacing w:line="600" w:lineRule="exact"/>
        <w:rPr>
          <w:rFonts w:ascii="黑体" w:hAnsi="黑体" w:eastAsia="黑体"/>
          <w:b/>
          <w:sz w:val="32"/>
          <w:szCs w:val="32"/>
        </w:rPr>
      </w:pPr>
      <w:r>
        <w:rPr>
          <w:rFonts w:hint="eastAsia" w:ascii="仿宋_GB2312" w:eastAsia="仿宋_GB2312"/>
          <w:b/>
          <w:sz w:val="32"/>
          <w:szCs w:val="32"/>
        </w:rPr>
        <w:t xml:space="preserve">    </w:t>
      </w:r>
      <w:r>
        <w:rPr>
          <w:rFonts w:hint="eastAsia" w:ascii="黑体" w:hAnsi="黑体" w:eastAsia="黑体"/>
          <w:b/>
          <w:sz w:val="32"/>
          <w:szCs w:val="32"/>
        </w:rPr>
        <w:t>五、评分标准</w:t>
      </w:r>
    </w:p>
    <w:p>
      <w:pPr>
        <w:spacing w:line="300" w:lineRule="exact"/>
        <w:rPr>
          <w:rFonts w:ascii="仿宋_GB2312" w:eastAsia="仿宋_GB2312"/>
          <w:b/>
          <w:sz w:val="32"/>
          <w:szCs w:val="32"/>
        </w:rPr>
      </w:pPr>
    </w:p>
    <w:tbl>
      <w:tblPr>
        <w:tblStyle w:val="4"/>
        <w:tblW w:w="10170"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814"/>
        <w:gridCol w:w="1701"/>
        <w:gridCol w:w="851"/>
        <w:gridCol w:w="5788"/>
        <w:gridCol w:w="1016"/>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22" w:hRule="atLeast"/>
          <w:jc w:val="center"/>
        </w:trPr>
        <w:tc>
          <w:tcPr>
            <w:tcW w:w="814" w:type="dxa"/>
            <w:vAlign w:val="center"/>
          </w:tcPr>
          <w:p>
            <w:pPr>
              <w:spacing w:line="276" w:lineRule="auto"/>
              <w:jc w:val="center"/>
              <w:rPr>
                <w:rFonts w:ascii="宋体" w:hAnsi="宋体"/>
                <w:sz w:val="24"/>
              </w:rPr>
            </w:pPr>
            <w:r>
              <w:rPr>
                <w:rFonts w:hint="eastAsia" w:ascii="宋体" w:hAnsi="宋体"/>
                <w:sz w:val="24"/>
              </w:rPr>
              <w:t>序号</w:t>
            </w:r>
          </w:p>
        </w:tc>
        <w:tc>
          <w:tcPr>
            <w:tcW w:w="1701" w:type="dxa"/>
            <w:vAlign w:val="center"/>
          </w:tcPr>
          <w:p>
            <w:pPr>
              <w:spacing w:line="276" w:lineRule="auto"/>
              <w:jc w:val="center"/>
              <w:rPr>
                <w:rFonts w:ascii="宋体" w:hAnsi="宋体"/>
                <w:sz w:val="24"/>
              </w:rPr>
            </w:pPr>
            <w:r>
              <w:rPr>
                <w:rFonts w:hint="eastAsia" w:ascii="宋体" w:hAnsi="宋体"/>
                <w:sz w:val="24"/>
              </w:rPr>
              <w:t>评分因素</w:t>
            </w:r>
          </w:p>
          <w:p>
            <w:pPr>
              <w:spacing w:line="276" w:lineRule="auto"/>
              <w:jc w:val="center"/>
              <w:rPr>
                <w:rFonts w:ascii="宋体" w:hAnsi="宋体"/>
                <w:sz w:val="24"/>
              </w:rPr>
            </w:pPr>
            <w:r>
              <w:rPr>
                <w:rFonts w:hint="eastAsia" w:ascii="宋体" w:hAnsi="宋体"/>
                <w:sz w:val="24"/>
              </w:rPr>
              <w:t>及权重</w:t>
            </w:r>
          </w:p>
        </w:tc>
        <w:tc>
          <w:tcPr>
            <w:tcW w:w="851" w:type="dxa"/>
            <w:vAlign w:val="center"/>
          </w:tcPr>
          <w:p>
            <w:pPr>
              <w:spacing w:line="276" w:lineRule="auto"/>
              <w:jc w:val="center"/>
              <w:rPr>
                <w:rFonts w:ascii="宋体" w:hAnsi="宋体"/>
                <w:sz w:val="24"/>
              </w:rPr>
            </w:pPr>
            <w:r>
              <w:rPr>
                <w:rFonts w:hint="eastAsia" w:ascii="宋体" w:hAnsi="宋体"/>
                <w:sz w:val="24"/>
              </w:rPr>
              <w:t>分值</w:t>
            </w:r>
          </w:p>
        </w:tc>
        <w:tc>
          <w:tcPr>
            <w:tcW w:w="5788" w:type="dxa"/>
            <w:vAlign w:val="center"/>
          </w:tcPr>
          <w:p>
            <w:pPr>
              <w:spacing w:line="276" w:lineRule="auto"/>
              <w:jc w:val="center"/>
              <w:rPr>
                <w:rFonts w:ascii="宋体" w:hAnsi="宋体"/>
                <w:sz w:val="24"/>
              </w:rPr>
            </w:pPr>
            <w:r>
              <w:rPr>
                <w:rFonts w:hint="eastAsia" w:ascii="宋体" w:hAnsi="宋体"/>
                <w:sz w:val="24"/>
              </w:rPr>
              <w:t>评分标准</w:t>
            </w:r>
          </w:p>
        </w:tc>
        <w:tc>
          <w:tcPr>
            <w:tcW w:w="1016" w:type="dxa"/>
            <w:vAlign w:val="center"/>
          </w:tcPr>
          <w:p>
            <w:pPr>
              <w:spacing w:line="276" w:lineRule="auto"/>
              <w:jc w:val="center"/>
              <w:rPr>
                <w:rFonts w:ascii="宋体" w:hAnsi="宋体"/>
                <w:sz w:val="24"/>
              </w:rPr>
            </w:pPr>
            <w:r>
              <w:rPr>
                <w:rFonts w:hint="eastAsia" w:ascii="宋体" w:hAnsi="宋体"/>
                <w:sz w:val="24"/>
              </w:rPr>
              <w:t>说明</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810" w:hRule="atLeast"/>
          <w:jc w:val="center"/>
        </w:trPr>
        <w:tc>
          <w:tcPr>
            <w:tcW w:w="814" w:type="dxa"/>
            <w:vAlign w:val="center"/>
          </w:tcPr>
          <w:p>
            <w:pPr>
              <w:spacing w:line="276" w:lineRule="auto"/>
              <w:jc w:val="center"/>
              <w:rPr>
                <w:rFonts w:ascii="宋体" w:hAnsi="宋体"/>
                <w:sz w:val="24"/>
              </w:rPr>
            </w:pPr>
            <w:r>
              <w:rPr>
                <w:rFonts w:hint="eastAsia" w:ascii="宋体" w:hAnsi="宋体"/>
                <w:sz w:val="24"/>
              </w:rPr>
              <w:t>1</w:t>
            </w:r>
          </w:p>
        </w:tc>
        <w:tc>
          <w:tcPr>
            <w:tcW w:w="1701" w:type="dxa"/>
            <w:vAlign w:val="center"/>
          </w:tcPr>
          <w:p>
            <w:pPr>
              <w:spacing w:line="276" w:lineRule="auto"/>
              <w:jc w:val="center"/>
              <w:rPr>
                <w:rFonts w:ascii="宋体" w:hAnsi="宋体"/>
                <w:sz w:val="24"/>
              </w:rPr>
            </w:pPr>
            <w:r>
              <w:rPr>
                <w:rFonts w:hint="eastAsia" w:ascii="宋体" w:hAnsi="宋体"/>
                <w:sz w:val="24"/>
              </w:rPr>
              <w:t>报价</w:t>
            </w:r>
          </w:p>
          <w:p>
            <w:pPr>
              <w:spacing w:line="276" w:lineRule="auto"/>
              <w:jc w:val="center"/>
              <w:rPr>
                <w:rFonts w:ascii="宋体" w:hAnsi="宋体"/>
                <w:sz w:val="24"/>
              </w:rPr>
            </w:pPr>
            <w:r>
              <w:rPr>
                <w:rFonts w:hint="eastAsia" w:ascii="宋体" w:hAnsi="宋体"/>
                <w:sz w:val="24"/>
              </w:rPr>
              <w:t>（30分）</w:t>
            </w:r>
          </w:p>
        </w:tc>
        <w:tc>
          <w:tcPr>
            <w:tcW w:w="851" w:type="dxa"/>
            <w:vAlign w:val="center"/>
          </w:tcPr>
          <w:p>
            <w:pPr>
              <w:spacing w:line="276" w:lineRule="auto"/>
              <w:jc w:val="center"/>
              <w:rPr>
                <w:rFonts w:ascii="宋体" w:hAnsi="宋体"/>
                <w:sz w:val="24"/>
              </w:rPr>
            </w:pPr>
            <w:r>
              <w:rPr>
                <w:rFonts w:hint="eastAsia" w:ascii="宋体" w:hAnsi="宋体"/>
                <w:sz w:val="24"/>
              </w:rPr>
              <w:t>30分</w:t>
            </w:r>
          </w:p>
        </w:tc>
        <w:tc>
          <w:tcPr>
            <w:tcW w:w="5788" w:type="dxa"/>
            <w:vAlign w:val="center"/>
          </w:tcPr>
          <w:p>
            <w:pPr>
              <w:spacing w:line="276" w:lineRule="auto"/>
              <w:ind w:firstLine="480" w:firstLineChars="200"/>
              <w:rPr>
                <w:rFonts w:ascii="宋体" w:hAnsi="宋体"/>
                <w:sz w:val="24"/>
              </w:rPr>
            </w:pPr>
            <w:r>
              <w:rPr>
                <w:rFonts w:hint="eastAsia" w:ascii="宋体"/>
                <w:sz w:val="24"/>
              </w:rPr>
              <w:t>以本次有效的最低报价为基准价，报价得分=(基准价／响应报价)*</w:t>
            </w:r>
            <w:r>
              <w:rPr>
                <w:rFonts w:hint="eastAsia" w:ascii="宋体" w:hAnsi="宋体"/>
                <w:szCs w:val="21"/>
              </w:rPr>
              <w:t xml:space="preserve"> </w:t>
            </w:r>
            <w:r>
              <w:rPr>
                <w:rFonts w:hint="eastAsia" w:ascii="宋体" w:hAnsi="宋体"/>
                <w:sz w:val="24"/>
                <w:szCs w:val="24"/>
              </w:rPr>
              <w:t>30</w:t>
            </w:r>
            <w:r>
              <w:rPr>
                <w:rFonts w:hint="eastAsia" w:ascii="宋体"/>
                <w:sz w:val="24"/>
              </w:rPr>
              <w:t>分*100%</w:t>
            </w:r>
          </w:p>
        </w:tc>
        <w:tc>
          <w:tcPr>
            <w:tcW w:w="1016" w:type="dxa"/>
            <w:vAlign w:val="center"/>
          </w:tcPr>
          <w:p>
            <w:pPr>
              <w:spacing w:line="276"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167" w:hRule="atLeast"/>
          <w:jc w:val="center"/>
        </w:trPr>
        <w:tc>
          <w:tcPr>
            <w:tcW w:w="814" w:type="dxa"/>
            <w:vMerge w:val="restart"/>
            <w:vAlign w:val="center"/>
          </w:tcPr>
          <w:p>
            <w:pPr>
              <w:spacing w:line="276" w:lineRule="auto"/>
              <w:jc w:val="center"/>
              <w:rPr>
                <w:rFonts w:ascii="宋体" w:hAnsi="宋体"/>
                <w:sz w:val="24"/>
              </w:rPr>
            </w:pPr>
            <w:r>
              <w:rPr>
                <w:rFonts w:hint="eastAsia" w:ascii="宋体" w:hAnsi="宋体"/>
                <w:sz w:val="24"/>
              </w:rPr>
              <w:t>2</w:t>
            </w:r>
          </w:p>
        </w:tc>
        <w:tc>
          <w:tcPr>
            <w:tcW w:w="1701" w:type="dxa"/>
            <w:vMerge w:val="restart"/>
            <w:vAlign w:val="center"/>
          </w:tcPr>
          <w:p>
            <w:pPr>
              <w:spacing w:line="276" w:lineRule="auto"/>
              <w:ind w:right="31" w:rightChars="15"/>
              <w:jc w:val="center"/>
              <w:rPr>
                <w:rFonts w:ascii="宋体" w:hAnsi="宋体"/>
                <w:sz w:val="24"/>
              </w:rPr>
            </w:pPr>
            <w:r>
              <w:rPr>
                <w:rFonts w:hint="eastAsia" w:ascii="宋体" w:hAnsi="宋体"/>
                <w:sz w:val="24"/>
              </w:rPr>
              <w:t>项目设计、服务方案及可行性保障</w:t>
            </w:r>
          </w:p>
          <w:p>
            <w:pPr>
              <w:spacing w:line="276" w:lineRule="auto"/>
              <w:ind w:right="31" w:rightChars="15"/>
              <w:jc w:val="center"/>
              <w:rPr>
                <w:rFonts w:ascii="宋体" w:hAnsi="宋体"/>
                <w:sz w:val="24"/>
              </w:rPr>
            </w:pPr>
            <w:r>
              <w:rPr>
                <w:rFonts w:hint="eastAsia" w:ascii="宋体" w:hAnsi="宋体"/>
                <w:sz w:val="24"/>
              </w:rPr>
              <w:t>（50分）</w:t>
            </w:r>
          </w:p>
        </w:tc>
        <w:tc>
          <w:tcPr>
            <w:tcW w:w="851" w:type="dxa"/>
            <w:vAlign w:val="center"/>
          </w:tcPr>
          <w:p>
            <w:pPr>
              <w:spacing w:line="276" w:lineRule="auto"/>
              <w:jc w:val="center"/>
              <w:rPr>
                <w:rFonts w:ascii="宋体" w:hAnsi="宋体"/>
                <w:sz w:val="24"/>
              </w:rPr>
            </w:pPr>
            <w:r>
              <w:rPr>
                <w:rFonts w:hint="eastAsia" w:ascii="宋体" w:hAnsi="宋体"/>
                <w:sz w:val="24"/>
              </w:rPr>
              <w:t>25分</w:t>
            </w:r>
          </w:p>
        </w:tc>
        <w:tc>
          <w:tcPr>
            <w:tcW w:w="5788" w:type="dxa"/>
            <w:vAlign w:val="center"/>
          </w:tcPr>
          <w:p>
            <w:pPr>
              <w:spacing w:line="276" w:lineRule="auto"/>
              <w:rPr>
                <w:rFonts w:ascii="宋体" w:hAnsi="宋体" w:cs="宋体"/>
                <w:sz w:val="24"/>
              </w:rPr>
            </w:pPr>
            <w:r>
              <w:rPr>
                <w:rFonts w:hint="eastAsia" w:ascii="黑体" w:hAnsi="黑体" w:eastAsia="黑体"/>
                <w:b/>
                <w:sz w:val="24"/>
              </w:rPr>
              <w:t>项目设计</w:t>
            </w:r>
            <w:r>
              <w:rPr>
                <w:rFonts w:hint="eastAsia" w:ascii="宋体" w:hAnsi="宋体" w:cs="宋体"/>
                <w:sz w:val="24"/>
              </w:rPr>
              <w:t>：根据供应商针对本项目提供的项目设计方案进行综合评分。优得20-25分，良得14-19分，一般得1-13分，差不得分。</w:t>
            </w:r>
          </w:p>
        </w:tc>
        <w:tc>
          <w:tcPr>
            <w:tcW w:w="1016" w:type="dxa"/>
            <w:vAlign w:val="center"/>
          </w:tcPr>
          <w:p>
            <w:pPr>
              <w:spacing w:line="276"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166" w:hRule="atLeast"/>
          <w:jc w:val="center"/>
        </w:trPr>
        <w:tc>
          <w:tcPr>
            <w:tcW w:w="814" w:type="dxa"/>
            <w:vMerge w:val="continue"/>
            <w:vAlign w:val="center"/>
          </w:tcPr>
          <w:p>
            <w:pPr>
              <w:spacing w:line="276" w:lineRule="auto"/>
              <w:jc w:val="center"/>
              <w:rPr>
                <w:rFonts w:ascii="宋体" w:hAnsi="宋体"/>
                <w:sz w:val="24"/>
              </w:rPr>
            </w:pPr>
          </w:p>
        </w:tc>
        <w:tc>
          <w:tcPr>
            <w:tcW w:w="1701" w:type="dxa"/>
            <w:vMerge w:val="continue"/>
            <w:vAlign w:val="center"/>
          </w:tcPr>
          <w:p>
            <w:pPr>
              <w:spacing w:line="276" w:lineRule="auto"/>
              <w:ind w:right="31" w:rightChars="15"/>
              <w:jc w:val="center"/>
              <w:rPr>
                <w:rFonts w:ascii="宋体" w:hAnsi="宋体"/>
                <w:sz w:val="24"/>
              </w:rPr>
            </w:pPr>
          </w:p>
        </w:tc>
        <w:tc>
          <w:tcPr>
            <w:tcW w:w="851" w:type="dxa"/>
            <w:vAlign w:val="center"/>
          </w:tcPr>
          <w:p>
            <w:pPr>
              <w:spacing w:line="276" w:lineRule="auto"/>
              <w:jc w:val="center"/>
              <w:rPr>
                <w:rFonts w:ascii="宋体" w:hAnsi="宋体"/>
                <w:sz w:val="24"/>
              </w:rPr>
            </w:pPr>
            <w:r>
              <w:rPr>
                <w:rFonts w:hint="eastAsia" w:ascii="宋体" w:hAnsi="宋体"/>
                <w:sz w:val="24"/>
              </w:rPr>
              <w:t>15分</w:t>
            </w:r>
          </w:p>
        </w:tc>
        <w:tc>
          <w:tcPr>
            <w:tcW w:w="5788" w:type="dxa"/>
            <w:vAlign w:val="center"/>
          </w:tcPr>
          <w:p>
            <w:pPr>
              <w:spacing w:line="276" w:lineRule="auto"/>
              <w:rPr>
                <w:rFonts w:ascii="黑体" w:hAnsi="黑体" w:eastAsia="黑体"/>
                <w:b/>
                <w:sz w:val="24"/>
              </w:rPr>
            </w:pPr>
            <w:r>
              <w:rPr>
                <w:rFonts w:hint="eastAsia" w:ascii="黑体" w:hAnsi="黑体" w:eastAsia="黑体"/>
                <w:b/>
                <w:sz w:val="24"/>
              </w:rPr>
              <w:t>服务方案</w:t>
            </w:r>
            <w:r>
              <w:rPr>
                <w:rFonts w:hint="eastAsia" w:ascii="宋体" w:hAnsi="宋体" w:cs="宋体"/>
                <w:sz w:val="24"/>
              </w:rPr>
              <w:t>：根据供应商针对本项目提供的服务方案进行综合评分。优得10-15分，良得4-9分，一般得1-3分，差不得分。</w:t>
            </w:r>
          </w:p>
        </w:tc>
        <w:tc>
          <w:tcPr>
            <w:tcW w:w="1016" w:type="dxa"/>
            <w:vAlign w:val="center"/>
          </w:tcPr>
          <w:p>
            <w:pPr>
              <w:spacing w:line="276"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166" w:hRule="atLeast"/>
          <w:jc w:val="center"/>
        </w:trPr>
        <w:tc>
          <w:tcPr>
            <w:tcW w:w="814" w:type="dxa"/>
            <w:vMerge w:val="continue"/>
            <w:vAlign w:val="center"/>
          </w:tcPr>
          <w:p>
            <w:pPr>
              <w:spacing w:line="276" w:lineRule="auto"/>
              <w:jc w:val="center"/>
              <w:rPr>
                <w:rFonts w:ascii="宋体" w:hAnsi="宋体"/>
                <w:sz w:val="24"/>
              </w:rPr>
            </w:pPr>
          </w:p>
        </w:tc>
        <w:tc>
          <w:tcPr>
            <w:tcW w:w="1701" w:type="dxa"/>
            <w:vMerge w:val="continue"/>
            <w:vAlign w:val="center"/>
          </w:tcPr>
          <w:p>
            <w:pPr>
              <w:spacing w:line="276" w:lineRule="auto"/>
              <w:ind w:right="31" w:rightChars="15"/>
              <w:jc w:val="center"/>
              <w:rPr>
                <w:rFonts w:ascii="宋体" w:hAnsi="宋体"/>
                <w:sz w:val="24"/>
              </w:rPr>
            </w:pPr>
          </w:p>
        </w:tc>
        <w:tc>
          <w:tcPr>
            <w:tcW w:w="851" w:type="dxa"/>
            <w:vAlign w:val="center"/>
          </w:tcPr>
          <w:p>
            <w:pPr>
              <w:spacing w:line="276" w:lineRule="auto"/>
              <w:jc w:val="center"/>
              <w:rPr>
                <w:rFonts w:ascii="宋体" w:hAnsi="宋体"/>
                <w:sz w:val="24"/>
              </w:rPr>
            </w:pPr>
            <w:r>
              <w:rPr>
                <w:rFonts w:hint="eastAsia" w:ascii="宋体" w:hAnsi="宋体"/>
                <w:sz w:val="24"/>
              </w:rPr>
              <w:t>10分</w:t>
            </w:r>
          </w:p>
        </w:tc>
        <w:tc>
          <w:tcPr>
            <w:tcW w:w="5788" w:type="dxa"/>
            <w:vAlign w:val="center"/>
          </w:tcPr>
          <w:p>
            <w:pPr>
              <w:spacing w:line="276" w:lineRule="auto"/>
              <w:rPr>
                <w:rFonts w:ascii="黑体" w:hAnsi="黑体" w:eastAsia="黑体"/>
                <w:b/>
                <w:sz w:val="24"/>
              </w:rPr>
            </w:pPr>
            <w:r>
              <w:rPr>
                <w:rFonts w:hint="eastAsia" w:ascii="黑体" w:hAnsi="黑体" w:eastAsia="黑体"/>
                <w:b/>
                <w:sz w:val="24"/>
              </w:rPr>
              <w:t>可行性保障</w:t>
            </w:r>
            <w:r>
              <w:rPr>
                <w:rFonts w:hint="eastAsia" w:ascii="宋体" w:hAnsi="宋体"/>
                <w:sz w:val="24"/>
              </w:rPr>
              <w:t>：</w:t>
            </w:r>
            <w:r>
              <w:rPr>
                <w:rFonts w:hint="eastAsia" w:ascii="宋体" w:hAnsi="宋体" w:cs="宋体"/>
                <w:sz w:val="24"/>
              </w:rPr>
              <w:t>根据供应商针对本项目提供的可行性保障方案进行综合评分。优得8-10分，良得5-7分，一般得1-4分，差不得分。</w:t>
            </w:r>
          </w:p>
        </w:tc>
        <w:tc>
          <w:tcPr>
            <w:tcW w:w="1016" w:type="dxa"/>
            <w:vAlign w:val="center"/>
          </w:tcPr>
          <w:p>
            <w:pPr>
              <w:spacing w:line="276"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810" w:hRule="atLeast"/>
          <w:jc w:val="center"/>
        </w:trPr>
        <w:tc>
          <w:tcPr>
            <w:tcW w:w="814" w:type="dxa"/>
            <w:vAlign w:val="center"/>
          </w:tcPr>
          <w:p>
            <w:pPr>
              <w:spacing w:line="276" w:lineRule="auto"/>
              <w:jc w:val="center"/>
              <w:rPr>
                <w:rFonts w:ascii="宋体" w:hAnsi="宋体"/>
                <w:sz w:val="24"/>
              </w:rPr>
            </w:pPr>
            <w:r>
              <w:rPr>
                <w:rFonts w:hint="eastAsia" w:ascii="宋体" w:hAnsi="宋体"/>
                <w:sz w:val="24"/>
              </w:rPr>
              <w:t>3</w:t>
            </w:r>
          </w:p>
        </w:tc>
        <w:tc>
          <w:tcPr>
            <w:tcW w:w="1701" w:type="dxa"/>
            <w:vAlign w:val="center"/>
          </w:tcPr>
          <w:p>
            <w:pPr>
              <w:spacing w:line="276" w:lineRule="auto"/>
              <w:ind w:right="31" w:rightChars="15"/>
              <w:jc w:val="center"/>
              <w:rPr>
                <w:rFonts w:ascii="宋体" w:hAnsi="宋体"/>
                <w:sz w:val="24"/>
              </w:rPr>
            </w:pPr>
            <w:r>
              <w:rPr>
                <w:rFonts w:hint="eastAsia" w:ascii="宋体" w:hAnsi="宋体"/>
                <w:sz w:val="24"/>
              </w:rPr>
              <w:t>类似项目业绩</w:t>
            </w:r>
          </w:p>
          <w:p>
            <w:pPr>
              <w:spacing w:line="276" w:lineRule="auto"/>
              <w:ind w:right="31" w:rightChars="15"/>
              <w:jc w:val="center"/>
              <w:rPr>
                <w:rFonts w:ascii="宋体" w:hAnsi="宋体"/>
                <w:sz w:val="24"/>
              </w:rPr>
            </w:pPr>
            <w:r>
              <w:rPr>
                <w:rFonts w:hint="eastAsia" w:ascii="宋体" w:hAnsi="宋体"/>
                <w:sz w:val="24"/>
              </w:rPr>
              <w:t>（10分）</w:t>
            </w:r>
          </w:p>
        </w:tc>
        <w:tc>
          <w:tcPr>
            <w:tcW w:w="851" w:type="dxa"/>
            <w:vAlign w:val="center"/>
          </w:tcPr>
          <w:p>
            <w:pPr>
              <w:spacing w:line="276" w:lineRule="auto"/>
              <w:jc w:val="center"/>
              <w:rPr>
                <w:rFonts w:ascii="宋体" w:hAnsi="宋体"/>
                <w:sz w:val="24"/>
              </w:rPr>
            </w:pPr>
            <w:r>
              <w:rPr>
                <w:rFonts w:hint="eastAsia" w:ascii="宋体" w:hAnsi="宋体"/>
                <w:sz w:val="24"/>
              </w:rPr>
              <w:t>10分</w:t>
            </w:r>
          </w:p>
        </w:tc>
        <w:tc>
          <w:tcPr>
            <w:tcW w:w="5788" w:type="dxa"/>
            <w:vAlign w:val="center"/>
          </w:tcPr>
          <w:p>
            <w:pPr>
              <w:spacing w:line="276" w:lineRule="auto"/>
              <w:rPr>
                <w:rFonts w:ascii="宋体" w:hAnsi="宋体"/>
                <w:sz w:val="24"/>
              </w:rPr>
            </w:pPr>
            <w:r>
              <w:rPr>
                <w:rFonts w:hint="eastAsia" w:ascii="宋体" w:hAnsi="宋体"/>
                <w:sz w:val="24"/>
              </w:rPr>
              <w:t>全国范围内虚拟展厅（展馆）设计制作服务的业绩情况。每个得2分，最多不超过10分，不提供不得分。</w:t>
            </w:r>
          </w:p>
        </w:tc>
        <w:tc>
          <w:tcPr>
            <w:tcW w:w="1016" w:type="dxa"/>
            <w:vAlign w:val="center"/>
          </w:tcPr>
          <w:p>
            <w:pPr>
              <w:spacing w:line="276" w:lineRule="auto"/>
              <w:jc w:val="center"/>
              <w:rPr>
                <w:rFonts w:ascii="宋体" w:hAnsi="宋体"/>
                <w:sz w:val="24"/>
              </w:rPr>
            </w:pPr>
            <w:r>
              <w:rPr>
                <w:rFonts w:hint="eastAsia" w:ascii="宋体" w:hAnsi="宋体"/>
                <w:sz w:val="24"/>
              </w:rPr>
              <w:t>提供相关证明材料复印件。</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810" w:hRule="atLeast"/>
          <w:jc w:val="center"/>
        </w:trPr>
        <w:tc>
          <w:tcPr>
            <w:tcW w:w="814" w:type="dxa"/>
            <w:vAlign w:val="center"/>
          </w:tcPr>
          <w:p>
            <w:pPr>
              <w:spacing w:line="276" w:lineRule="auto"/>
              <w:jc w:val="center"/>
              <w:rPr>
                <w:rFonts w:ascii="宋体" w:hAnsi="宋体"/>
                <w:sz w:val="24"/>
              </w:rPr>
            </w:pPr>
            <w:r>
              <w:rPr>
                <w:rFonts w:hint="eastAsia" w:ascii="宋体" w:hAnsi="宋体"/>
                <w:sz w:val="24"/>
              </w:rPr>
              <w:t>4</w:t>
            </w:r>
          </w:p>
        </w:tc>
        <w:tc>
          <w:tcPr>
            <w:tcW w:w="1701" w:type="dxa"/>
            <w:vAlign w:val="center"/>
          </w:tcPr>
          <w:p>
            <w:pPr>
              <w:spacing w:line="276" w:lineRule="auto"/>
              <w:ind w:right="31" w:rightChars="15"/>
              <w:jc w:val="center"/>
              <w:rPr>
                <w:rFonts w:ascii="宋体" w:hAnsi="宋体"/>
                <w:sz w:val="24"/>
              </w:rPr>
            </w:pPr>
            <w:r>
              <w:rPr>
                <w:rFonts w:hint="eastAsia" w:ascii="宋体" w:hAnsi="宋体"/>
                <w:sz w:val="24"/>
              </w:rPr>
              <w:t>供应商信誉</w:t>
            </w:r>
          </w:p>
          <w:p>
            <w:pPr>
              <w:spacing w:line="276" w:lineRule="auto"/>
              <w:ind w:right="31" w:rightChars="15"/>
              <w:jc w:val="center"/>
              <w:rPr>
                <w:rFonts w:ascii="宋体" w:hAnsi="宋体"/>
                <w:sz w:val="24"/>
              </w:rPr>
            </w:pPr>
            <w:r>
              <w:rPr>
                <w:rFonts w:hint="eastAsia" w:ascii="宋体" w:hAnsi="宋体"/>
                <w:sz w:val="24"/>
              </w:rPr>
              <w:t>（6分）</w:t>
            </w:r>
          </w:p>
        </w:tc>
        <w:tc>
          <w:tcPr>
            <w:tcW w:w="851" w:type="dxa"/>
            <w:vAlign w:val="center"/>
          </w:tcPr>
          <w:p>
            <w:pPr>
              <w:spacing w:line="276" w:lineRule="auto"/>
              <w:jc w:val="center"/>
              <w:rPr>
                <w:rFonts w:ascii="宋体" w:hAnsi="宋体"/>
                <w:sz w:val="24"/>
              </w:rPr>
            </w:pPr>
            <w:r>
              <w:rPr>
                <w:rFonts w:hint="eastAsia" w:ascii="宋体" w:hAnsi="宋体"/>
                <w:sz w:val="24"/>
              </w:rPr>
              <w:t>6分</w:t>
            </w:r>
          </w:p>
        </w:tc>
        <w:tc>
          <w:tcPr>
            <w:tcW w:w="5788" w:type="dxa"/>
            <w:vAlign w:val="center"/>
          </w:tcPr>
          <w:p>
            <w:pPr>
              <w:spacing w:line="276" w:lineRule="auto"/>
              <w:rPr>
                <w:rFonts w:ascii="宋体" w:hAnsi="宋体"/>
                <w:sz w:val="24"/>
              </w:rPr>
            </w:pPr>
            <w:r>
              <w:rPr>
                <w:rFonts w:hint="eastAsia" w:ascii="宋体" w:hAnsi="宋体"/>
                <w:sz w:val="24"/>
              </w:rPr>
              <w:t>1、获得</w:t>
            </w:r>
            <w:r>
              <w:rPr>
                <w:rFonts w:hint="eastAsia" w:ascii="宋体" w:hAnsi="宋体" w:cs="宋体"/>
                <w:kern w:val="0"/>
                <w:sz w:val="24"/>
                <w:szCs w:val="24"/>
              </w:rPr>
              <w:t>质量管理体系认证证书</w:t>
            </w:r>
            <w:r>
              <w:rPr>
                <w:rFonts w:hint="eastAsia" w:ascii="宋体" w:hAnsi="宋体"/>
                <w:sz w:val="24"/>
              </w:rPr>
              <w:t>得3分，没有的得0分；</w:t>
            </w:r>
          </w:p>
          <w:p>
            <w:pPr>
              <w:spacing w:line="276" w:lineRule="auto"/>
              <w:rPr>
                <w:rFonts w:ascii="宋体" w:hAnsi="宋体"/>
                <w:sz w:val="24"/>
              </w:rPr>
            </w:pPr>
            <w:r>
              <w:rPr>
                <w:rFonts w:ascii="宋体" w:hAnsi="宋体"/>
                <w:sz w:val="24"/>
              </w:rPr>
              <w:t>2</w:t>
            </w:r>
            <w:r>
              <w:rPr>
                <w:rFonts w:hint="eastAsia" w:ascii="宋体" w:hAnsi="宋体"/>
                <w:sz w:val="24"/>
              </w:rPr>
              <w:t>、获得高新技术企业认证</w:t>
            </w:r>
            <w:r>
              <w:rPr>
                <w:rFonts w:hint="eastAsia" w:ascii="宋体" w:hAnsi="宋体" w:cs="宋体"/>
                <w:kern w:val="0"/>
                <w:sz w:val="24"/>
                <w:szCs w:val="24"/>
              </w:rPr>
              <w:t>证书</w:t>
            </w:r>
            <w:r>
              <w:rPr>
                <w:rFonts w:hint="eastAsia" w:ascii="宋体" w:hAnsi="宋体"/>
                <w:sz w:val="24"/>
              </w:rPr>
              <w:t>得3分，没有的得0分；</w:t>
            </w:r>
          </w:p>
          <w:p>
            <w:pPr>
              <w:spacing w:line="276" w:lineRule="auto"/>
              <w:rPr>
                <w:rFonts w:ascii="宋体" w:hAnsi="宋体"/>
                <w:sz w:val="24"/>
              </w:rPr>
            </w:pPr>
          </w:p>
        </w:tc>
        <w:tc>
          <w:tcPr>
            <w:tcW w:w="1016" w:type="dxa"/>
            <w:vAlign w:val="center"/>
          </w:tcPr>
          <w:p>
            <w:pPr>
              <w:spacing w:line="276" w:lineRule="auto"/>
              <w:jc w:val="center"/>
              <w:rPr>
                <w:rFonts w:ascii="宋体" w:hAnsi="宋体"/>
                <w:sz w:val="24"/>
              </w:rPr>
            </w:pPr>
            <w:r>
              <w:rPr>
                <w:rFonts w:hint="eastAsia" w:ascii="宋体" w:hAnsi="宋体"/>
                <w:sz w:val="24"/>
              </w:rPr>
              <w:t>提供相关证明材料复印件。</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810" w:hRule="atLeast"/>
          <w:jc w:val="center"/>
        </w:trPr>
        <w:tc>
          <w:tcPr>
            <w:tcW w:w="814" w:type="dxa"/>
            <w:vAlign w:val="center"/>
          </w:tcPr>
          <w:p>
            <w:pPr>
              <w:spacing w:line="276" w:lineRule="auto"/>
              <w:jc w:val="center"/>
              <w:rPr>
                <w:rFonts w:ascii="宋体" w:hAnsi="宋体"/>
                <w:sz w:val="24"/>
              </w:rPr>
            </w:pPr>
            <w:r>
              <w:rPr>
                <w:rFonts w:hint="eastAsia" w:ascii="宋体" w:hAnsi="宋体"/>
                <w:sz w:val="24"/>
              </w:rPr>
              <w:t>5</w:t>
            </w:r>
          </w:p>
        </w:tc>
        <w:tc>
          <w:tcPr>
            <w:tcW w:w="1701" w:type="dxa"/>
            <w:vAlign w:val="center"/>
          </w:tcPr>
          <w:p>
            <w:pPr>
              <w:spacing w:line="276" w:lineRule="auto"/>
              <w:ind w:right="31" w:rightChars="15"/>
              <w:jc w:val="center"/>
              <w:rPr>
                <w:rFonts w:ascii="宋体" w:hAnsi="宋体"/>
                <w:sz w:val="24"/>
              </w:rPr>
            </w:pPr>
            <w:r>
              <w:rPr>
                <w:rFonts w:hint="eastAsia" w:ascii="宋体" w:hAnsi="宋体"/>
                <w:sz w:val="24"/>
              </w:rPr>
              <w:t>响应文件的</w:t>
            </w:r>
          </w:p>
          <w:p>
            <w:pPr>
              <w:spacing w:line="276" w:lineRule="auto"/>
              <w:ind w:right="31" w:rightChars="15"/>
              <w:jc w:val="center"/>
              <w:rPr>
                <w:rFonts w:ascii="宋体" w:hAnsi="宋体"/>
                <w:sz w:val="24"/>
              </w:rPr>
            </w:pPr>
            <w:r>
              <w:rPr>
                <w:rFonts w:hint="eastAsia" w:ascii="宋体" w:hAnsi="宋体"/>
                <w:sz w:val="24"/>
              </w:rPr>
              <w:t>规范性（4分）</w:t>
            </w:r>
          </w:p>
        </w:tc>
        <w:tc>
          <w:tcPr>
            <w:tcW w:w="851" w:type="dxa"/>
            <w:vAlign w:val="center"/>
          </w:tcPr>
          <w:p>
            <w:pPr>
              <w:spacing w:line="276" w:lineRule="auto"/>
              <w:jc w:val="center"/>
              <w:rPr>
                <w:rFonts w:ascii="宋体" w:hAnsi="宋体"/>
                <w:sz w:val="24"/>
              </w:rPr>
            </w:pPr>
            <w:r>
              <w:rPr>
                <w:rFonts w:hint="eastAsia" w:ascii="宋体" w:hAnsi="宋体"/>
                <w:sz w:val="24"/>
              </w:rPr>
              <w:t>4分</w:t>
            </w:r>
          </w:p>
        </w:tc>
        <w:tc>
          <w:tcPr>
            <w:tcW w:w="5788" w:type="dxa"/>
            <w:vAlign w:val="center"/>
          </w:tcPr>
          <w:p>
            <w:pPr>
              <w:spacing w:line="276" w:lineRule="auto"/>
              <w:rPr>
                <w:rFonts w:ascii="宋体" w:hAnsi="宋体"/>
                <w:sz w:val="24"/>
              </w:rPr>
            </w:pPr>
            <w:r>
              <w:rPr>
                <w:rFonts w:hint="eastAsia" w:ascii="宋体" w:hAnsi="宋体"/>
                <w:sz w:val="24"/>
              </w:rPr>
              <w:t>响应文件制作规范，没有细微偏差情形的得4分。相应文件有偏差的，每一处扣1分。</w:t>
            </w:r>
          </w:p>
        </w:tc>
        <w:tc>
          <w:tcPr>
            <w:tcW w:w="1016" w:type="dxa"/>
            <w:vAlign w:val="center"/>
          </w:tcPr>
          <w:p>
            <w:pPr>
              <w:spacing w:line="276" w:lineRule="auto"/>
              <w:jc w:val="center"/>
              <w:rPr>
                <w:rFonts w:ascii="宋体" w:hAnsi="宋体"/>
                <w:sz w:val="24"/>
              </w:rPr>
            </w:pPr>
          </w:p>
        </w:tc>
      </w:tr>
    </w:tbl>
    <w:p>
      <w:pPr>
        <w:spacing w:line="600" w:lineRule="exact"/>
        <w:rPr>
          <w:rFonts w:ascii="仿宋_GB2312" w:eastAsia="仿宋_GB2312"/>
          <w:b/>
          <w:sz w:val="32"/>
          <w:szCs w:val="32"/>
        </w:rPr>
      </w:pPr>
    </w:p>
    <w:p>
      <w:pPr>
        <w:spacing w:line="600" w:lineRule="exact"/>
        <w:rPr>
          <w:rFonts w:ascii="仿宋_GB2312" w:eastAsia="仿宋_GB2312"/>
          <w:b/>
          <w:sz w:val="32"/>
          <w:szCs w:val="32"/>
        </w:rPr>
      </w:pPr>
    </w:p>
    <w:p>
      <w:pPr>
        <w:spacing w:line="600" w:lineRule="exact"/>
        <w:rPr>
          <w:rFonts w:ascii="仿宋_GB2312" w:eastAsia="仿宋_GB2312"/>
          <w:b/>
          <w:sz w:val="32"/>
          <w:szCs w:val="32"/>
        </w:rPr>
      </w:pPr>
    </w:p>
    <w:p>
      <w:pPr>
        <w:spacing w:line="600" w:lineRule="exact"/>
        <w:rPr>
          <w:rFonts w:ascii="仿宋_GB2312" w:eastAsia="仿宋_GB2312"/>
          <w:b/>
          <w:sz w:val="32"/>
          <w:szCs w:val="32"/>
        </w:rPr>
      </w:pPr>
    </w:p>
    <w:p>
      <w:pPr>
        <w:widowControl/>
        <w:spacing w:line="640" w:lineRule="exact"/>
        <w:jc w:val="center"/>
        <w:rPr>
          <w:rFonts w:eastAsia="方正小标宋_GBK"/>
          <w:b/>
          <w:sz w:val="40"/>
          <w:szCs w:val="40"/>
        </w:rPr>
      </w:pPr>
      <w:r>
        <w:rPr>
          <w:rFonts w:eastAsia="方正小标宋_GBK"/>
          <w:b/>
          <w:sz w:val="40"/>
          <w:szCs w:val="40"/>
        </w:rPr>
        <w:t>报名回执</w:t>
      </w:r>
    </w:p>
    <w:p>
      <w:pPr>
        <w:widowControl/>
        <w:spacing w:line="640" w:lineRule="exact"/>
        <w:jc w:val="center"/>
        <w:rPr>
          <w:rFonts w:eastAsia="仿宋_GB2312"/>
          <w:b/>
          <w:sz w:val="32"/>
          <w:szCs w:val="32"/>
        </w:r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5"/>
        <w:gridCol w:w="1701"/>
        <w:gridCol w:w="45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vAlign w:val="center"/>
          </w:tcPr>
          <w:p>
            <w:pPr>
              <w:widowControl/>
              <w:spacing w:line="400" w:lineRule="exact"/>
              <w:jc w:val="center"/>
              <w:rPr>
                <w:rFonts w:eastAsia="黑体"/>
                <w:b/>
                <w:sz w:val="24"/>
              </w:rPr>
            </w:pPr>
            <w:r>
              <w:rPr>
                <w:rFonts w:eastAsia="黑体"/>
                <w:b/>
                <w:sz w:val="24"/>
              </w:rPr>
              <w:t>申请项目名称</w:t>
            </w:r>
          </w:p>
        </w:tc>
        <w:tc>
          <w:tcPr>
            <w:tcW w:w="6287" w:type="dxa"/>
            <w:gridSpan w:val="2"/>
            <w:vAlign w:val="center"/>
          </w:tcPr>
          <w:p>
            <w:pPr>
              <w:widowControl/>
              <w:spacing w:line="640" w:lineRule="exact"/>
              <w:jc w:val="center"/>
              <w:rPr>
                <w:rFonts w:eastAsia="仿宋_GB2312"/>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vAlign w:val="center"/>
          </w:tcPr>
          <w:p>
            <w:pPr>
              <w:widowControl/>
              <w:spacing w:line="400" w:lineRule="exact"/>
              <w:jc w:val="center"/>
              <w:rPr>
                <w:rFonts w:eastAsia="黑体"/>
                <w:b/>
                <w:sz w:val="24"/>
              </w:rPr>
            </w:pPr>
            <w:r>
              <w:rPr>
                <w:rFonts w:eastAsia="黑体"/>
                <w:b/>
                <w:sz w:val="24"/>
              </w:rPr>
              <w:t>比选申请人</w:t>
            </w:r>
          </w:p>
          <w:p>
            <w:pPr>
              <w:widowControl/>
              <w:spacing w:line="400" w:lineRule="exact"/>
              <w:jc w:val="center"/>
              <w:rPr>
                <w:rFonts w:eastAsia="黑体"/>
                <w:b/>
                <w:sz w:val="24"/>
              </w:rPr>
            </w:pPr>
            <w:r>
              <w:rPr>
                <w:rFonts w:eastAsia="黑体"/>
                <w:b/>
                <w:sz w:val="24"/>
              </w:rPr>
              <w:t>（机构名，盖章）</w:t>
            </w:r>
          </w:p>
        </w:tc>
        <w:tc>
          <w:tcPr>
            <w:tcW w:w="6287" w:type="dxa"/>
            <w:gridSpan w:val="2"/>
            <w:vAlign w:val="center"/>
          </w:tcPr>
          <w:p>
            <w:pPr>
              <w:widowControl/>
              <w:spacing w:line="640" w:lineRule="exact"/>
              <w:jc w:val="center"/>
              <w:rPr>
                <w:rFonts w:eastAsia="仿宋_GB2312"/>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2235" w:type="dxa"/>
            <w:vMerge w:val="restart"/>
            <w:vAlign w:val="center"/>
          </w:tcPr>
          <w:p>
            <w:pPr>
              <w:widowControl/>
              <w:spacing w:line="400" w:lineRule="exact"/>
              <w:jc w:val="center"/>
              <w:rPr>
                <w:rFonts w:eastAsia="黑体"/>
                <w:b/>
                <w:sz w:val="24"/>
              </w:rPr>
            </w:pPr>
            <w:r>
              <w:rPr>
                <w:rFonts w:eastAsia="黑体"/>
                <w:b/>
                <w:sz w:val="24"/>
              </w:rPr>
              <w:t>比选评审会</w:t>
            </w:r>
          </w:p>
          <w:p>
            <w:pPr>
              <w:widowControl/>
              <w:spacing w:line="400" w:lineRule="exact"/>
              <w:jc w:val="center"/>
              <w:rPr>
                <w:rFonts w:eastAsia="黑体"/>
                <w:b/>
                <w:sz w:val="24"/>
              </w:rPr>
            </w:pPr>
            <w:r>
              <w:rPr>
                <w:rFonts w:eastAsia="黑体"/>
                <w:b/>
                <w:sz w:val="24"/>
              </w:rPr>
              <w:t>参会人员</w:t>
            </w:r>
          </w:p>
        </w:tc>
        <w:tc>
          <w:tcPr>
            <w:tcW w:w="1701" w:type="dxa"/>
            <w:vAlign w:val="center"/>
          </w:tcPr>
          <w:p>
            <w:pPr>
              <w:widowControl/>
              <w:spacing w:line="400" w:lineRule="exact"/>
              <w:jc w:val="center"/>
              <w:rPr>
                <w:rFonts w:eastAsia="黑体"/>
                <w:b/>
                <w:sz w:val="24"/>
              </w:rPr>
            </w:pPr>
            <w:r>
              <w:rPr>
                <w:rFonts w:eastAsia="黑体"/>
                <w:b/>
                <w:sz w:val="24"/>
              </w:rPr>
              <w:t>姓    名</w:t>
            </w:r>
          </w:p>
        </w:tc>
        <w:tc>
          <w:tcPr>
            <w:tcW w:w="4586" w:type="dxa"/>
            <w:vAlign w:val="center"/>
          </w:tcPr>
          <w:p>
            <w:pPr>
              <w:widowControl/>
              <w:spacing w:line="640" w:lineRule="exact"/>
              <w:jc w:val="center"/>
              <w:rPr>
                <w:rFonts w:eastAsia="仿宋_GB2312"/>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2235" w:type="dxa"/>
            <w:vMerge w:val="continue"/>
            <w:vAlign w:val="center"/>
          </w:tcPr>
          <w:p>
            <w:pPr>
              <w:widowControl/>
              <w:spacing w:line="640" w:lineRule="exact"/>
              <w:jc w:val="center"/>
              <w:rPr>
                <w:rFonts w:eastAsia="仿宋_GB2312"/>
                <w:b/>
                <w:sz w:val="32"/>
                <w:szCs w:val="32"/>
              </w:rPr>
            </w:pPr>
          </w:p>
        </w:tc>
        <w:tc>
          <w:tcPr>
            <w:tcW w:w="1701" w:type="dxa"/>
            <w:vAlign w:val="center"/>
          </w:tcPr>
          <w:p>
            <w:pPr>
              <w:widowControl/>
              <w:spacing w:line="400" w:lineRule="exact"/>
              <w:jc w:val="center"/>
              <w:rPr>
                <w:rFonts w:eastAsia="黑体"/>
                <w:b/>
                <w:sz w:val="24"/>
              </w:rPr>
            </w:pPr>
            <w:r>
              <w:rPr>
                <w:rFonts w:eastAsia="黑体"/>
                <w:b/>
                <w:sz w:val="24"/>
              </w:rPr>
              <w:t>职    务</w:t>
            </w:r>
          </w:p>
        </w:tc>
        <w:tc>
          <w:tcPr>
            <w:tcW w:w="4586" w:type="dxa"/>
            <w:vAlign w:val="center"/>
          </w:tcPr>
          <w:p>
            <w:pPr>
              <w:widowControl/>
              <w:spacing w:line="640" w:lineRule="exact"/>
              <w:jc w:val="center"/>
              <w:rPr>
                <w:rFonts w:eastAsia="仿宋_GB2312"/>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2235" w:type="dxa"/>
            <w:vMerge w:val="continue"/>
            <w:vAlign w:val="center"/>
          </w:tcPr>
          <w:p>
            <w:pPr>
              <w:widowControl/>
              <w:spacing w:line="640" w:lineRule="exact"/>
              <w:jc w:val="center"/>
              <w:rPr>
                <w:rFonts w:eastAsia="仿宋_GB2312"/>
                <w:b/>
                <w:sz w:val="32"/>
                <w:szCs w:val="32"/>
              </w:rPr>
            </w:pPr>
          </w:p>
        </w:tc>
        <w:tc>
          <w:tcPr>
            <w:tcW w:w="1701" w:type="dxa"/>
            <w:vAlign w:val="center"/>
          </w:tcPr>
          <w:p>
            <w:pPr>
              <w:widowControl/>
              <w:spacing w:line="400" w:lineRule="exact"/>
              <w:jc w:val="center"/>
              <w:rPr>
                <w:rFonts w:eastAsia="黑体"/>
                <w:b/>
                <w:sz w:val="24"/>
              </w:rPr>
            </w:pPr>
            <w:r>
              <w:rPr>
                <w:rFonts w:eastAsia="黑体"/>
                <w:b/>
                <w:sz w:val="24"/>
              </w:rPr>
              <w:t>联系方式</w:t>
            </w:r>
          </w:p>
          <w:p>
            <w:pPr>
              <w:widowControl/>
              <w:spacing w:line="400" w:lineRule="exact"/>
              <w:jc w:val="center"/>
              <w:rPr>
                <w:rFonts w:eastAsia="黑体"/>
                <w:b/>
                <w:sz w:val="24"/>
              </w:rPr>
            </w:pPr>
            <w:r>
              <w:rPr>
                <w:rFonts w:eastAsia="黑体"/>
                <w:b/>
                <w:sz w:val="24"/>
              </w:rPr>
              <w:t>（手机）</w:t>
            </w:r>
          </w:p>
        </w:tc>
        <w:tc>
          <w:tcPr>
            <w:tcW w:w="4586" w:type="dxa"/>
            <w:vAlign w:val="center"/>
          </w:tcPr>
          <w:p>
            <w:pPr>
              <w:widowControl/>
              <w:spacing w:line="640" w:lineRule="exact"/>
              <w:jc w:val="center"/>
              <w:rPr>
                <w:rFonts w:eastAsia="仿宋_GB2312"/>
                <w:b/>
                <w:sz w:val="32"/>
                <w:szCs w:val="32"/>
              </w:rPr>
            </w:pPr>
          </w:p>
        </w:tc>
      </w:tr>
    </w:tbl>
    <w:p>
      <w:pPr>
        <w:widowControl/>
        <w:spacing w:line="640" w:lineRule="exact"/>
        <w:jc w:val="left"/>
        <w:rPr>
          <w:rFonts w:eastAsia="仿宋_GB2312"/>
          <w:b/>
          <w:sz w:val="32"/>
          <w:szCs w:val="32"/>
        </w:rPr>
      </w:pPr>
    </w:p>
    <w:p>
      <w:pPr>
        <w:widowControl/>
        <w:spacing w:line="640" w:lineRule="exact"/>
        <w:ind w:firstLine="472" w:firstLineChars="196"/>
        <w:jc w:val="left"/>
        <w:rPr>
          <w:rFonts w:ascii="仿宋_GB2312" w:eastAsia="仿宋_GB2312"/>
          <w:b/>
          <w:sz w:val="32"/>
          <w:szCs w:val="32"/>
        </w:rPr>
      </w:pPr>
      <w:r>
        <w:rPr>
          <w:rFonts w:eastAsia="仿宋_GB2312"/>
          <w:b/>
          <w:sz w:val="24"/>
          <w:szCs w:val="28"/>
        </w:rPr>
        <w:t>（备注：该表格盖章后扫描，与电子版一并发送至</w:t>
      </w:r>
      <w:r>
        <w:fldChar w:fldCharType="begin"/>
      </w:r>
      <w:r>
        <w:instrText xml:space="preserve"> HYPERLINK "mailto:swxcb2019@126.com" </w:instrText>
      </w:r>
      <w:r>
        <w:fldChar w:fldCharType="separate"/>
      </w:r>
      <w:r>
        <w:rPr>
          <w:rFonts w:hint="eastAsia" w:eastAsia="仿宋_GB2312"/>
          <w:b/>
          <w:sz w:val="24"/>
          <w:szCs w:val="28"/>
        </w:rPr>
        <w:t>236635896</w:t>
      </w:r>
      <w:r>
        <w:rPr>
          <w:rFonts w:eastAsia="仿宋_GB2312"/>
          <w:b/>
          <w:sz w:val="24"/>
          <w:szCs w:val="28"/>
        </w:rPr>
        <w:t>@qq.com</w:t>
      </w:r>
      <w:r>
        <w:rPr>
          <w:rFonts w:eastAsia="仿宋_GB2312"/>
          <w:b/>
          <w:sz w:val="24"/>
          <w:szCs w:val="28"/>
        </w:rPr>
        <w:fldChar w:fldCharType="end"/>
      </w:r>
      <w:r>
        <w:rPr>
          <w:rFonts w:hint="eastAsia" w:eastAsia="仿宋_GB2312"/>
          <w:b/>
          <w:sz w:val="24"/>
          <w:szCs w:val="28"/>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Arial Unicode MS"/>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879CA"/>
    <w:rsid w:val="00253205"/>
    <w:rsid w:val="00256069"/>
    <w:rsid w:val="002A554E"/>
    <w:rsid w:val="002F01D1"/>
    <w:rsid w:val="003B7329"/>
    <w:rsid w:val="00422484"/>
    <w:rsid w:val="00426D11"/>
    <w:rsid w:val="004E2DC1"/>
    <w:rsid w:val="00563F86"/>
    <w:rsid w:val="0057235C"/>
    <w:rsid w:val="00617225"/>
    <w:rsid w:val="00684913"/>
    <w:rsid w:val="006D0EDC"/>
    <w:rsid w:val="00712A01"/>
    <w:rsid w:val="0089258A"/>
    <w:rsid w:val="008961FD"/>
    <w:rsid w:val="008C7491"/>
    <w:rsid w:val="00902C22"/>
    <w:rsid w:val="00992AB0"/>
    <w:rsid w:val="00A022A8"/>
    <w:rsid w:val="00A439A0"/>
    <w:rsid w:val="00A65BFC"/>
    <w:rsid w:val="00A879CA"/>
    <w:rsid w:val="00AA7E27"/>
    <w:rsid w:val="00BA46EF"/>
    <w:rsid w:val="00D56733"/>
    <w:rsid w:val="00D95CF7"/>
    <w:rsid w:val="00E2734F"/>
    <w:rsid w:val="00EA0F12"/>
    <w:rsid w:val="00F83D00"/>
    <w:rsid w:val="1B133F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rFonts w:ascii="Calibri" w:hAnsi="Calibri" w:eastAsia="宋体" w:cs="Times New Roman"/>
      <w:sz w:val="18"/>
      <w:szCs w:val="18"/>
    </w:rPr>
  </w:style>
  <w:style w:type="character" w:customStyle="1" w:styleId="7">
    <w:name w:val="页脚 Char"/>
    <w:basedOn w:val="5"/>
    <w:link w:val="2"/>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438</Words>
  <Characters>2499</Characters>
  <Lines>20</Lines>
  <Paragraphs>5</Paragraphs>
  <TotalTime>229</TotalTime>
  <ScaleCrop>false</ScaleCrop>
  <LinksUpToDate>false</LinksUpToDate>
  <CharactersWithSpaces>2932</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2020-09-11T02:21:00Z</dcterms:created>
  <dc:creator>a</dc:creator>
  <cp:lastModifiedBy>杨均</cp:lastModifiedBy>
  <cp:lastPrinted>2020-09-22T06:00:00Z</cp:lastPrinted>
  <dcterms:modified xsi:type="dcterms:W3CDTF">2020-09-23T03:23:16Z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