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0"/>
        <w:rPr>
          <w:rFonts w:hint="eastAsia" w:ascii="Times New Roman" w:hAnsi="Times New Roman" w:eastAsia="黑体"/>
          <w:b/>
          <w:sz w:val="32"/>
          <w:szCs w:val="32"/>
          <w:lang w:eastAsia="zh-CN"/>
        </w:rPr>
      </w:pPr>
      <w:r>
        <w:rPr>
          <w:rFonts w:ascii="Times New Roman" w:eastAsia="黑体"/>
          <w:b/>
          <w:sz w:val="32"/>
          <w:szCs w:val="32"/>
        </w:rPr>
        <w:t>附件</w:t>
      </w:r>
      <w:r>
        <w:rPr>
          <w:rFonts w:hint="eastAsia" w:eastAsia="黑体"/>
          <w:b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Times New Roman" w:hAnsi="Times New Roman" w:eastAsia="方正小标宋_GBK"/>
          <w:b/>
          <w:sz w:val="40"/>
          <w:szCs w:val="40"/>
        </w:rPr>
      </w:pPr>
      <w:r>
        <w:rPr>
          <w:rFonts w:ascii="Times New Roman" w:eastAsia="方正小标宋_GBK"/>
          <w:b/>
          <w:sz w:val="40"/>
          <w:szCs w:val="40"/>
        </w:rPr>
        <w:t>比选评分表</w:t>
      </w:r>
    </w:p>
    <w:tbl>
      <w:tblPr>
        <w:tblStyle w:val="5"/>
        <w:tblpPr w:leftFromText="180" w:rightFromText="180" w:vertAnchor="text" w:horzAnchor="page" w:tblpX="1686" w:tblpY="933"/>
        <w:tblOverlap w:val="never"/>
        <w:tblW w:w="470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202"/>
        <w:gridCol w:w="1221"/>
        <w:gridCol w:w="6149"/>
        <w:gridCol w:w="3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2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8"/>
              <w:jc w:val="center"/>
              <w:textAlignment w:val="auto"/>
              <w:rPr>
                <w:rFonts w:ascii="仿宋" w:hAnsi="仿宋" w:eastAsia="仿宋" w:cs="仿宋"/>
                <w:b/>
                <w:bCs w:val="0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</w:rPr>
              <w:t>序号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8"/>
              <w:jc w:val="center"/>
              <w:textAlignment w:val="auto"/>
              <w:rPr>
                <w:rFonts w:ascii="仿宋" w:hAnsi="仿宋" w:eastAsia="仿宋" w:cs="仿宋"/>
                <w:b/>
                <w:bCs w:val="0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</w:rPr>
              <w:t>评分因素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8"/>
              <w:jc w:val="center"/>
              <w:textAlignment w:val="auto"/>
              <w:rPr>
                <w:rFonts w:ascii="仿宋" w:hAnsi="仿宋" w:eastAsia="仿宋" w:cs="仿宋"/>
                <w:b/>
                <w:bCs w:val="0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</w:rPr>
              <w:t>分值</w:t>
            </w:r>
          </w:p>
        </w:tc>
        <w:tc>
          <w:tcPr>
            <w:tcW w:w="2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8"/>
              <w:jc w:val="center"/>
              <w:textAlignment w:val="auto"/>
              <w:rPr>
                <w:rFonts w:ascii="仿宋" w:hAnsi="仿宋" w:eastAsia="仿宋" w:cs="仿宋"/>
                <w:b/>
                <w:bCs w:val="0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</w:rPr>
              <w:t>评分标准</w:t>
            </w:r>
          </w:p>
        </w:tc>
        <w:tc>
          <w:tcPr>
            <w:tcW w:w="13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8"/>
              <w:jc w:val="center"/>
              <w:textAlignment w:val="auto"/>
              <w:rPr>
                <w:rFonts w:ascii="仿宋" w:hAnsi="仿宋" w:eastAsia="仿宋" w:cs="仿宋"/>
                <w:b/>
                <w:bCs w:val="0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2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报价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10%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10分</w:t>
            </w:r>
          </w:p>
        </w:tc>
        <w:tc>
          <w:tcPr>
            <w:tcW w:w="2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满足磋商文件要求且最终报价最低的报价为评审基准价，其报价分为最高分。其他供应商的报价分按以下公式计算：报价得分=(评审基准价／最终报价) ×价格权重×100。</w:t>
            </w:r>
          </w:p>
        </w:tc>
        <w:tc>
          <w:tcPr>
            <w:tcW w:w="13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以最终报价表（原件）为准，得分四舍五入保留小数点后两位。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2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项目服务和技术要求</w:t>
            </w: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24</w:t>
            </w:r>
            <w:r>
              <w:rPr>
                <w:rFonts w:hint="eastAsia" w:ascii="仿宋" w:hAnsi="仿宋" w:eastAsia="仿宋"/>
                <w:color w:val="000000"/>
              </w:rPr>
              <w:t>%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color w:val="000000"/>
              </w:rPr>
              <w:t>分</w:t>
            </w:r>
          </w:p>
        </w:tc>
        <w:tc>
          <w:tcPr>
            <w:tcW w:w="2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供应商完全满足“购买服务需求”的得24分，每有一项负偏离扣2分，扣完为止（共12项）。</w:t>
            </w:r>
          </w:p>
        </w:tc>
        <w:tc>
          <w:tcPr>
            <w:tcW w:w="13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</w:trPr>
        <w:tc>
          <w:tcPr>
            <w:tcW w:w="2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3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设计方案</w:t>
            </w:r>
            <w:r>
              <w:rPr>
                <w:rFonts w:ascii="仿宋" w:hAnsi="仿宋" w:eastAsia="仿宋"/>
                <w:color w:val="000000"/>
              </w:rPr>
              <w:t>15</w:t>
            </w:r>
            <w:r>
              <w:rPr>
                <w:rFonts w:hint="eastAsia" w:ascii="仿宋" w:hAnsi="仿宋" w:eastAsia="仿宋"/>
                <w:color w:val="000000"/>
              </w:rPr>
              <w:t>%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15</w:t>
            </w:r>
            <w:r>
              <w:rPr>
                <w:rFonts w:hint="eastAsia" w:ascii="仿宋" w:hAnsi="仿宋" w:eastAsia="仿宋"/>
                <w:color w:val="000000"/>
              </w:rPr>
              <w:t>分</w:t>
            </w:r>
          </w:p>
        </w:tc>
        <w:tc>
          <w:tcPr>
            <w:tcW w:w="2181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textAlignment w:val="auto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提供一套本次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活动</w:t>
            </w:r>
            <w:r>
              <w:rPr>
                <w:rFonts w:hint="eastAsia" w:ascii="仿宋" w:hAnsi="仿宋" w:eastAsia="仿宋" w:cs="仿宋"/>
                <w:color w:val="000000"/>
              </w:rPr>
              <w:t>的整体文字、策划方案，包括文字策划、三维设计、平面设计、空间布局图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</w:rPr>
              <w:t>空间布局上选择国际主流的开放式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活动</w:t>
            </w:r>
            <w:r>
              <w:rPr>
                <w:rFonts w:hint="eastAsia" w:ascii="仿宋" w:hAnsi="仿宋" w:eastAsia="仿宋" w:cs="仿宋"/>
                <w:color w:val="000000"/>
              </w:rPr>
              <w:t>设置，合理利用立体空间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</w:rPr>
              <w:t>案富有现代感，能合理运用声光电等技术，做到简洁、大气、明快的得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000000"/>
              </w:rPr>
              <w:t>分，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每偏离一项扣5分。</w:t>
            </w:r>
            <w:r>
              <w:rPr>
                <w:rFonts w:hint="eastAsia" w:ascii="仿宋" w:hAnsi="仿宋" w:eastAsia="仿宋" w:cs="仿宋"/>
                <w:color w:val="000000"/>
              </w:rPr>
              <w:t xml:space="preserve"> </w:t>
            </w:r>
          </w:p>
        </w:tc>
        <w:tc>
          <w:tcPr>
            <w:tcW w:w="13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</w:trPr>
        <w:tc>
          <w:tcPr>
            <w:tcW w:w="28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4</w:t>
            </w:r>
          </w:p>
        </w:tc>
        <w:tc>
          <w:tcPr>
            <w:tcW w:w="78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履约能力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50</w:t>
            </w:r>
            <w:r>
              <w:rPr>
                <w:rFonts w:hint="eastAsia" w:ascii="仿宋" w:hAnsi="仿宋" w:eastAsia="仿宋"/>
                <w:color w:val="000000"/>
              </w:rPr>
              <w:t>%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实施案例</w:t>
            </w: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color w:val="000000"/>
              </w:rPr>
              <w:t>分</w:t>
            </w:r>
          </w:p>
        </w:tc>
        <w:tc>
          <w:tcPr>
            <w:tcW w:w="2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供应商2018年1月1日至今，每具有1个省级及以上展览活动的类似项目业绩的得</w:t>
            </w: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</w:rPr>
              <w:t>分，最多得</w:t>
            </w: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color w:val="000000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注：类似项目业绩证明材料需附中标/成交通知书和合同复印件并加盖供应商单位鲜章。  </w:t>
            </w:r>
          </w:p>
        </w:tc>
        <w:tc>
          <w:tcPr>
            <w:tcW w:w="13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提供采购合同、中标通知书等相关证明材料并加盖供应商公章。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2" w:hRule="atLeast"/>
        </w:trPr>
        <w:tc>
          <w:tcPr>
            <w:tcW w:w="28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8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4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团队实力</w:t>
            </w:r>
            <w:r>
              <w:rPr>
                <w:rFonts w:ascii="仿宋" w:hAnsi="仿宋" w:eastAsia="仿宋"/>
                <w:color w:val="000000"/>
              </w:rPr>
              <w:t>2</w:t>
            </w: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</w:rPr>
              <w:t>分</w:t>
            </w:r>
          </w:p>
        </w:tc>
        <w:tc>
          <w:tcPr>
            <w:tcW w:w="2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1、项目负责人:具有文博或艺术类相关专业研究生及以上学历的得</w:t>
            </w:r>
            <w:r>
              <w:rPr>
                <w:rFonts w:ascii="仿宋" w:hAnsi="仿宋" w:eastAsia="仿宋"/>
                <w:color w:val="000000"/>
              </w:rPr>
              <w:t>2</w:t>
            </w:r>
            <w:r>
              <w:rPr>
                <w:rFonts w:hint="eastAsia" w:ascii="仿宋" w:hAnsi="仿宋" w:eastAsia="仿宋"/>
                <w:color w:val="000000"/>
              </w:rPr>
              <w:t>分，同时具有新闻类或艺术类相关专业中级及以上职称的加</w:t>
            </w:r>
            <w:r>
              <w:rPr>
                <w:rFonts w:ascii="仿宋" w:hAnsi="仿宋" w:eastAsia="仿宋"/>
                <w:color w:val="000000"/>
              </w:rPr>
              <w:t>3</w:t>
            </w:r>
            <w:r>
              <w:rPr>
                <w:rFonts w:hint="eastAsia" w:ascii="仿宋" w:hAnsi="仿宋" w:eastAsia="仿宋"/>
                <w:color w:val="000000"/>
              </w:rPr>
              <w:t>分，本项最高得</w:t>
            </w:r>
            <w:r>
              <w:rPr>
                <w:rFonts w:ascii="仿宋" w:hAnsi="仿宋" w:eastAsia="仿宋"/>
                <w:color w:val="000000"/>
              </w:rPr>
              <w:t>5</w:t>
            </w:r>
            <w:r>
              <w:rPr>
                <w:rFonts w:hint="eastAsia" w:ascii="仿宋" w:hAnsi="仿宋" w:eastAsia="仿宋"/>
                <w:color w:val="000000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2、</w:t>
            </w: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活动</w:t>
            </w:r>
            <w:r>
              <w:rPr>
                <w:rFonts w:hint="eastAsia" w:ascii="仿宋" w:hAnsi="仿宋" w:eastAsia="仿宋"/>
                <w:color w:val="000000"/>
              </w:rPr>
              <w:t>负责人:具有文博或艺术类相关专业本科学历的得</w:t>
            </w:r>
            <w:r>
              <w:rPr>
                <w:rFonts w:ascii="仿宋" w:hAnsi="仿宋" w:eastAsia="仿宋"/>
                <w:color w:val="000000"/>
              </w:rPr>
              <w:t>2</w:t>
            </w:r>
            <w:r>
              <w:rPr>
                <w:rFonts w:hint="eastAsia" w:ascii="仿宋" w:hAnsi="仿宋" w:eastAsia="仿宋"/>
                <w:color w:val="000000"/>
              </w:rPr>
              <w:t>分，同时具有研究生及以上学历的再加</w:t>
            </w:r>
            <w:r>
              <w:rPr>
                <w:rFonts w:ascii="仿宋" w:hAnsi="仿宋" w:eastAsia="仿宋"/>
                <w:color w:val="000000"/>
              </w:rPr>
              <w:t>3</w:t>
            </w:r>
            <w:r>
              <w:rPr>
                <w:rFonts w:hint="eastAsia" w:ascii="仿宋" w:hAnsi="仿宋" w:eastAsia="仿宋"/>
                <w:color w:val="000000"/>
              </w:rPr>
              <w:t>分，本项最高得</w:t>
            </w:r>
            <w:r>
              <w:rPr>
                <w:rFonts w:ascii="仿宋" w:hAnsi="仿宋" w:eastAsia="仿宋"/>
                <w:color w:val="000000"/>
              </w:rPr>
              <w:t>5</w:t>
            </w:r>
            <w:r>
              <w:rPr>
                <w:rFonts w:hint="eastAsia" w:ascii="仿宋" w:hAnsi="仿宋" w:eastAsia="仿宋"/>
                <w:color w:val="000000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3、</w:t>
            </w: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执行</w:t>
            </w:r>
            <w:r>
              <w:rPr>
                <w:rFonts w:hint="eastAsia" w:ascii="仿宋" w:hAnsi="仿宋" w:eastAsia="仿宋"/>
                <w:color w:val="000000"/>
              </w:rPr>
              <w:t>负责人:具有文博或艺术类相关专业本科学历的得</w:t>
            </w:r>
            <w:r>
              <w:rPr>
                <w:rFonts w:ascii="仿宋" w:hAnsi="仿宋" w:eastAsia="仿宋"/>
                <w:color w:val="000000"/>
              </w:rPr>
              <w:t>2</w:t>
            </w:r>
            <w:r>
              <w:rPr>
                <w:rFonts w:hint="eastAsia" w:ascii="仿宋" w:hAnsi="仿宋" w:eastAsia="仿宋"/>
                <w:color w:val="000000"/>
              </w:rPr>
              <w:t>分，同时具有研究生及以上学历的加</w:t>
            </w:r>
            <w:r>
              <w:rPr>
                <w:rFonts w:ascii="仿宋" w:hAnsi="仿宋" w:eastAsia="仿宋"/>
                <w:color w:val="000000"/>
              </w:rPr>
              <w:t>3</w:t>
            </w:r>
            <w:r>
              <w:rPr>
                <w:rFonts w:hint="eastAsia" w:ascii="仿宋" w:hAnsi="仿宋" w:eastAsia="仿宋"/>
                <w:color w:val="000000"/>
              </w:rPr>
              <w:t>分，本项最高得</w:t>
            </w:r>
            <w:r>
              <w:rPr>
                <w:rFonts w:ascii="仿宋" w:hAnsi="仿宋" w:eastAsia="仿宋"/>
                <w:color w:val="000000"/>
              </w:rPr>
              <w:t>5</w:t>
            </w:r>
            <w:r>
              <w:rPr>
                <w:rFonts w:hint="eastAsia" w:ascii="仿宋" w:hAnsi="仿宋" w:eastAsia="仿宋"/>
                <w:color w:val="000000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4、采编人员:持有新闻记者证的1人得</w:t>
            </w:r>
            <w:r>
              <w:rPr>
                <w:rFonts w:ascii="仿宋" w:hAnsi="仿宋" w:eastAsia="仿宋"/>
                <w:color w:val="000000"/>
              </w:rPr>
              <w:t>1</w:t>
            </w:r>
            <w:r>
              <w:rPr>
                <w:rFonts w:hint="eastAsia" w:ascii="仿宋" w:hAnsi="仿宋" w:eastAsia="仿宋"/>
                <w:color w:val="000000"/>
              </w:rPr>
              <w:t>分，最多得</w:t>
            </w:r>
            <w:r>
              <w:rPr>
                <w:rFonts w:ascii="仿宋" w:hAnsi="仿宋" w:eastAsia="仿宋"/>
                <w:color w:val="000000"/>
              </w:rPr>
              <w:t>3</w:t>
            </w:r>
            <w:r>
              <w:rPr>
                <w:rFonts w:hint="eastAsia" w:ascii="仿宋" w:hAnsi="仿宋" w:eastAsia="仿宋"/>
                <w:color w:val="000000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5、设计人员:具有设计相关专业本科及以上学历的1人得</w:t>
            </w: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</w:rPr>
              <w:t>分，最多得</w:t>
            </w: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6、外文编译人员:具有英语专业高校本科及以上学历的1人得</w:t>
            </w: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</w:rPr>
              <w:t>分，同时取得高等学校英语专业八级证书的每人加</w:t>
            </w: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</w:rPr>
              <w:t>分，本项最多得</w:t>
            </w: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</w:rPr>
              <w:t>分。</w:t>
            </w:r>
          </w:p>
        </w:tc>
        <w:tc>
          <w:tcPr>
            <w:tcW w:w="13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提供团队人员相关专业性证明材料、在职证明、工作履历证明等证明材料并加盖供应商公章。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2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5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文件规范性</w:t>
            </w: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1</w:t>
            </w:r>
            <w:r>
              <w:rPr>
                <w:rFonts w:ascii="仿宋" w:hAnsi="仿宋" w:eastAsia="仿宋"/>
                <w:color w:val="000000"/>
              </w:rPr>
              <w:t>%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</w:rPr>
              <w:t>分</w:t>
            </w:r>
          </w:p>
        </w:tc>
        <w:tc>
          <w:tcPr>
            <w:tcW w:w="21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响应文件制作规范，没有细微偏差情形的得</w:t>
            </w: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</w:rPr>
              <w:t>分；有一项偏差扣</w:t>
            </w:r>
            <w:r>
              <w:rPr>
                <w:rFonts w:hint="eastAsia" w:ascii="仿宋" w:hAnsi="仿宋" w:eastAsia="仿宋" w:cs="宋体"/>
                <w:color w:val="000000"/>
                <w:lang w:val="en-US" w:eastAsia="zh-CN"/>
              </w:rPr>
              <w:t>0.5</w:t>
            </w:r>
            <w:r>
              <w:rPr>
                <w:rFonts w:hint="eastAsia" w:ascii="仿宋" w:hAnsi="仿宋" w:eastAsia="仿宋" w:cs="宋体"/>
                <w:color w:val="000000"/>
              </w:rPr>
              <w:t>分，直至该项分扣完为止。</w:t>
            </w:r>
          </w:p>
        </w:tc>
        <w:tc>
          <w:tcPr>
            <w:tcW w:w="13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仿宋" w:hAnsi="仿宋" w:eastAsia="仿宋"/>
                <w:color w:val="000000"/>
              </w:rPr>
            </w:pPr>
          </w:p>
        </w:tc>
      </w:tr>
    </w:tbl>
    <w:p>
      <w:pPr>
        <w:widowControl/>
        <w:spacing w:line="640" w:lineRule="exact"/>
        <w:rPr>
          <w:rFonts w:ascii="Times New Roman" w:hAnsi="Times New Roman" w:eastAsia="仿宋_GB2312"/>
          <w:b/>
          <w:sz w:val="32"/>
          <w:szCs w:val="32"/>
        </w:rPr>
        <w:sectPr>
          <w:footerReference r:id="rId3" w:type="default"/>
          <w:pgSz w:w="16838" w:h="11906" w:orient="landscape"/>
          <w:pgMar w:top="1803" w:right="1043" w:bottom="1803" w:left="1043" w:header="851" w:footer="992" w:gutter="0"/>
          <w:pgNumType w:start="1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20B0300000000000000"/>
    <w:charset w:val="86"/>
    <w:family w:val="script"/>
    <w:pitch w:val="default"/>
    <w:sig w:usb0="00000001" w:usb1="080F181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22231"/>
    <w:rsid w:val="2C616716"/>
    <w:rsid w:val="5872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2021-05-08T01:07:00Z</dcterms:created>
  <dc:creator>幽谷百合</dc:creator>
  <cp:lastModifiedBy>幽谷百合</cp:lastModifiedBy>
  <dcterms:modified xsi:type="dcterms:W3CDTF">2021-05-08T01:18:00Z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E6A48F39ACFE45D288103B897D145E23</vt:lpwstr>
  </property>
  <property fmtid="{D5CDD505-2E9C-101B-9397-08002B2CF9AE}" pid="4" name="KSOSaveFontToCloudKey">
    <vt:lpwstr>242072427_cloud</vt:lpwstr>
  </property>
</Properties>
</file>