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hint="eastAsia"/>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hint="eastAsia"/>
          <w:sz w:val="44"/>
          <w:szCs w:val="52"/>
          <w:lang w:val="en-US" w:eastAsia="zh-CN"/>
        </w:rPr>
      </w:pPr>
      <w:r>
        <w:rPr>
          <w:rFonts w:ascii="方正小标宋_GBK" w:eastAsia="方正小标宋_GBK" w:cs="方正小标宋_GBK" w:hint="eastAsia"/>
          <w:sz w:val="44"/>
          <w:szCs w:val="52"/>
          <w:lang w:val="en-US" w:eastAsia="zh-CN"/>
        </w:rPr>
        <w:t>四川省文化产业发展重点项目合规审核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hint="eastAsia"/>
          <w:sz w:val="44"/>
          <w:szCs w:val="52"/>
          <w:lang w:val="en-US" w:eastAsia="zh-CN"/>
        </w:rPr>
      </w:pPr>
      <w:r>
        <w:rPr>
          <w:rFonts w:ascii="方正小标宋_GBK" w:eastAsia="方正小标宋_GBK" w:cs="方正小标宋_GBK" w:hint="eastAsia"/>
          <w:sz w:val="44"/>
          <w:szCs w:val="52"/>
          <w:lang w:val="en-US" w:eastAsia="zh-CN"/>
        </w:rPr>
        <w:t>服务第三方机构比选</w:t>
      </w:r>
      <w:r>
        <w:rPr>
          <w:rFonts w:ascii="方正小标宋_GBK" w:eastAsia="方正小标宋_GBK" w:cs="方正小标宋_GBK"/>
          <w:sz w:val="44"/>
          <w:szCs w:val="52"/>
          <w:lang w:val="en-US" w:eastAsia="zh-CN"/>
        </w:rPr>
        <w:t>公告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left"/>
        <w:textAlignment w:val="auto"/>
        <w:rPr>
          <w:rFonts w:ascii="CESI仿宋-GB2312" w:eastAsia="CESI仿宋-GB2312" w:cs="CESI仿宋-GB2312"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CESI仿宋-GB2312" w:eastAsia="CESI仿宋-GB2312" w:cs="CESI仿宋-GB2312" w:hint="eastAsia"/>
          <w:sz w:val="32"/>
          <w:szCs w:val="40"/>
          <w:lang w:val="en-US" w:eastAsia="zh-CN"/>
        </w:rPr>
      </w:pPr>
      <w:r>
        <w:rPr>
          <w:rFonts w:ascii="CESI仿宋-GB2312" w:eastAsia="CESI仿宋-GB2312" w:cs="CESI仿宋-GB2312" w:hint="eastAsia"/>
          <w:sz w:val="32"/>
          <w:szCs w:val="40"/>
          <w:lang w:val="en-US" w:eastAsia="zh-CN"/>
        </w:rPr>
        <w:t>为做好四川省文化产业发展项目库项目入库和实施管理、四川省文化产业发展专项资金项目申报管理工作，中共四川省委宣传部将通过比选方式确定一家会计师事务所承担项目合规审核、绩效评价、数据汇总、监督检查等工作。具体要求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jc w:val="left"/>
        <w:textAlignment w:val="auto"/>
        <w:rPr>
          <w:rFonts w:ascii="CESI仿宋-GB2312" w:eastAsia="CESI仿宋-GB2312" w:cs="CESI仿宋-GB2312" w:hint="eastAsia"/>
          <w:sz w:val="32"/>
          <w:szCs w:val="40"/>
          <w:lang w:val="en-US" w:eastAsia="zh-CN"/>
        </w:rPr>
      </w:pPr>
      <w:r>
        <w:rPr>
          <w:rFonts w:ascii="CESI仿宋-GB2312" w:eastAsia="CESI仿宋-GB2312" w:cs="CESI仿宋-GB2312" w:hint="eastAsia"/>
          <w:sz w:val="32"/>
          <w:szCs w:val="40"/>
          <w:lang w:val="en-US" w:eastAsia="zh-CN"/>
        </w:rPr>
        <w:t>比选时间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CESI仿宋-GB2312" w:eastAsia="CESI仿宋-GB2312" w:cs="CESI仿宋-GB2312"/>
          <w:sz w:val="32"/>
          <w:szCs w:val="40"/>
          <w:lang w:val="en-US" w:eastAsia="zh-CN"/>
        </w:rPr>
      </w:pPr>
      <w:r>
        <w:rPr>
          <w:rFonts w:ascii="CESI仿宋-GB2312" w:eastAsia="CESI仿宋-GB2312" w:cs="CESI仿宋-GB2312"/>
          <w:sz w:val="32"/>
          <w:szCs w:val="40"/>
          <w:lang w:eastAsia="zh-CN"/>
        </w:rPr>
        <w:t xml:space="preserve">   </w:t>
      </w:r>
      <w:r>
        <w:rPr>
          <w:rFonts w:ascii="CESI仿宋-GB2312" w:eastAsia="CESI仿宋-GB2312" w:cs="CESI仿宋-GB2312" w:hint="eastAsia"/>
          <w:sz w:val="32"/>
          <w:szCs w:val="40"/>
          <w:lang w:val="en-US" w:eastAsia="zh-CN"/>
        </w:rPr>
        <w:t xml:space="preserve"> </w:t>
      </w:r>
      <w:r>
        <w:rPr>
          <w:rFonts w:ascii="CESI仿宋-GB2312" w:eastAsia="CESI仿宋-GB2312" w:cs="CESI仿宋-GB2312"/>
          <w:sz w:val="32"/>
          <w:szCs w:val="40"/>
          <w:lang w:eastAsia="zh-CN"/>
        </w:rPr>
        <w:t>2021</w:t>
      </w:r>
      <w:r>
        <w:rPr>
          <w:rFonts w:ascii="CESI仿宋-GB2312" w:eastAsia="CESI仿宋-GB2312" w:cs="CESI仿宋-GB2312" w:hint="eastAsia"/>
          <w:sz w:val="32"/>
          <w:szCs w:val="40"/>
          <w:lang w:eastAsia="zh-CN"/>
        </w:rPr>
        <w:t>年</w:t>
      </w:r>
      <w:r>
        <w:rPr>
          <w:rFonts w:ascii="CESI仿宋-GB2312" w:eastAsia="CESI仿宋-GB2312" w:cs="CESI仿宋-GB2312" w:hint="eastAsia"/>
          <w:sz w:val="32"/>
          <w:szCs w:val="40"/>
          <w:lang w:val="en-US" w:eastAsia="zh-CN"/>
        </w:rPr>
        <w:t>10月26日15：00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jc w:val="left"/>
        <w:textAlignment w:val="auto"/>
        <w:rPr>
          <w:rFonts w:ascii="CESI仿宋-GB2312" w:eastAsia="CESI仿宋-GB2312" w:cs="CESI仿宋-GB2312" w:hint="eastAsia"/>
          <w:sz w:val="32"/>
          <w:szCs w:val="40"/>
          <w:lang w:val="en-US" w:eastAsia="zh-CN"/>
        </w:rPr>
      </w:pPr>
      <w:r>
        <w:rPr>
          <w:rFonts w:ascii="CESI仿宋-GB2312" w:eastAsia="CESI仿宋-GB2312" w:cs="CESI仿宋-GB2312" w:hint="eastAsia"/>
          <w:sz w:val="32"/>
          <w:szCs w:val="40"/>
          <w:lang w:val="en-US" w:eastAsia="zh-CN"/>
        </w:rPr>
        <w:t>比选地点</w:t>
      </w:r>
    </w:p>
    <w:p>
      <w:pPr>
        <w:keepNext w:val="0"/>
        <w:keepLines w:val="0"/>
        <w:pageBreakBefore w:val="0"/>
        <w:widowControl w:val="0"/>
        <w:kinsoku/>
        <w:wordWrap/>
        <w:overflowPunct/>
        <w:topLinePunct w:val="0"/>
        <w:autoSpaceDE/>
        <w:autoSpaceDN/>
        <w:bidi w:val="0"/>
        <w:adjustRightInd/>
        <w:snapToGrid/>
        <w:spacing w:line="560" w:lineRule="exact"/>
        <w:ind w:leftChars="200" w:left="640"/>
        <w:jc w:val="left"/>
        <w:textAlignment w:val="auto"/>
        <w:rPr>
          <w:rFonts w:ascii="CESI仿宋-GB2312" w:eastAsia="CESI仿宋-GB2312" w:cs="CESI仿宋-GB2312"/>
          <w:sz w:val="32"/>
          <w:szCs w:val="40"/>
          <w:lang w:val="en-US" w:eastAsia="zh-CN"/>
        </w:rPr>
      </w:pPr>
      <w:r>
        <w:rPr>
          <w:rFonts w:ascii="CESI仿宋-GB2312" w:eastAsia="CESI仿宋-GB2312" w:cs="CESI仿宋-GB2312" w:hint="eastAsia"/>
          <w:sz w:val="32"/>
          <w:szCs w:val="40"/>
          <w:lang w:val="en-US" w:eastAsia="zh-CN"/>
        </w:rPr>
        <w:t>成都市商业街16号省委主楼16楼会议室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jc w:val="left"/>
        <w:textAlignment w:val="auto"/>
        <w:rPr>
          <w:rFonts w:ascii="CESI仿宋-GB2312" w:eastAsia="CESI仿宋-GB2312" w:cs="CESI仿宋-GB2312" w:hint="eastAsia"/>
          <w:sz w:val="32"/>
          <w:szCs w:val="40"/>
          <w:lang w:val="en-US" w:eastAsia="zh-CN"/>
        </w:rPr>
      </w:pPr>
      <w:r>
        <w:rPr>
          <w:rFonts w:ascii="CESI仿宋-GB2312" w:eastAsia="CESI仿宋-GB2312" w:cs="CESI仿宋-GB2312" w:hint="eastAsia"/>
          <w:sz w:val="32"/>
          <w:szCs w:val="40"/>
          <w:lang w:val="en-US" w:eastAsia="zh-CN"/>
        </w:rPr>
        <w:t>购买服务需求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jc w:val="left"/>
        <w:textAlignment w:val="auto"/>
        <w:rPr>
          <w:rFonts w:ascii="CESI仿宋-GB2312" w:eastAsia="CESI仿宋-GB2312" w:cs="CESI仿宋-GB2312" w:hint="eastAsia"/>
          <w:sz w:val="32"/>
          <w:szCs w:val="40"/>
          <w:lang w:val="en-US" w:eastAsia="zh-CN"/>
        </w:rPr>
      </w:pPr>
      <w:r>
        <w:rPr>
          <w:rFonts w:ascii="CESI仿宋-GB2312" w:eastAsia="CESI仿宋-GB2312" w:cs="CESI仿宋-GB2312" w:hint="eastAsia"/>
          <w:sz w:val="32"/>
          <w:szCs w:val="40"/>
          <w:lang w:val="en-US" w:eastAsia="zh-CN"/>
        </w:rPr>
        <w:t>审核四川省文化产业发展项目库2021年度申报项目、2022年度四川省文化产业发展专项资金申报项目的申报资料，具体审核内容包括但不限于：（1）申报项目是否满足申报条件；（2）申报主体是否满足资格要求；（3）申报材料是否齐全、填报数据是否规范完整；（4）网上填报数据与纸质材料是否一致；（5）财务审计报告的合规性与财务数据勾稽关系的准确性。（6）协助省委宣传部接收整理项目资料，指导申报主体补充完善有关信息和资料。（7）项目审核过程中梳理和建立相关流程证明材料的数字档案及纸质档案。审核完成后，出具审计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jc w:val="left"/>
        <w:textAlignment w:val="auto"/>
        <w:rPr>
          <w:rFonts w:ascii="CESI仿宋-GB2312" w:eastAsia="CESI仿宋-GB2312" w:cs="CESI仿宋-GB2312"/>
          <w:sz w:val="32"/>
          <w:szCs w:val="40"/>
          <w:lang w:val="en-US" w:eastAsia="zh-CN"/>
        </w:rPr>
      </w:pPr>
      <w:r>
        <w:rPr>
          <w:rFonts w:ascii="CESI仿宋-GB2312" w:eastAsia="CESI仿宋-GB2312" w:cs="CESI仿宋-GB2312" w:hint="eastAsia"/>
          <w:sz w:val="32"/>
          <w:szCs w:val="40"/>
          <w:lang w:val="en-US" w:eastAsia="zh-CN"/>
        </w:rPr>
        <w:t xml:space="preserve">汇总分析2021年度四川省文化产业发展专项资金支持项目绩效评价的数据信息。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left="920" w:hangingChars="100" w:hanging="280"/>
        <w:jc w:val="left"/>
        <w:textAlignment w:val="auto"/>
        <w:rPr>
          <w:rFonts w:ascii="CESI仿宋-GB2312" w:eastAsia="CESI仿宋-GB2312" w:cs="CESI仿宋-GB2312"/>
          <w:b/>
          <w:bCs/>
          <w:spacing w:val="-20"/>
          <w:sz w:val="32"/>
          <w:szCs w:val="40"/>
          <w:lang w:val="en-US" w:eastAsia="zh-CN"/>
        </w:rPr>
      </w:pPr>
      <w:r>
        <w:rPr>
          <w:rFonts w:ascii="CESI仿宋-GB2312" w:eastAsia="CESI仿宋-GB2312" w:cs="CESI仿宋-GB2312" w:hint="eastAsia"/>
          <w:b/>
          <w:bCs/>
          <w:spacing w:val="-20"/>
          <w:sz w:val="32"/>
          <w:szCs w:val="40"/>
          <w:lang w:val="en-US" w:eastAsia="zh-CN"/>
        </w:rPr>
        <w:t>汇总四川省文化产业发展项目库入库项目季度推进情况。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jc w:val="left"/>
        <w:textAlignment w:val="auto"/>
        <w:rPr>
          <w:rFonts w:ascii="CESI仿宋-GB2312" w:eastAsia="CESI仿宋-GB2312" w:cs="CESI仿宋-GB2312"/>
          <w:b/>
          <w:bCs/>
          <w:spacing w:val="-20"/>
          <w:sz w:val="32"/>
          <w:szCs w:val="40"/>
          <w:lang w:val="en-US" w:eastAsia="zh-CN"/>
        </w:rPr>
      </w:pPr>
      <w:r>
        <w:rPr>
          <w:rFonts w:ascii="CESI仿宋-GB2312" w:eastAsia="CESI仿宋-GB2312" w:cs="CESI仿宋-GB2312" w:hint="eastAsia"/>
          <w:b/>
          <w:bCs/>
          <w:spacing w:val="-20"/>
          <w:sz w:val="32"/>
          <w:szCs w:val="40"/>
          <w:lang w:val="en-US" w:eastAsia="zh-CN"/>
        </w:rPr>
        <w:t>提供</w:t>
      </w:r>
      <w:r>
        <w:rPr>
          <w:rFonts w:ascii="CESI仿宋-GB2312" w:eastAsia="CESI仿宋-GB2312" w:cs="CESI仿宋-GB2312" w:hint="eastAsia"/>
          <w:sz w:val="32"/>
          <w:szCs w:val="40"/>
          <w:lang w:val="en-US" w:eastAsia="zh-CN"/>
        </w:rPr>
        <w:t>四川省文化产业发展项目库2021年度申报项目、2022年度四川省文化产业发展专项资金申报项目</w:t>
      </w:r>
      <w:r>
        <w:rPr>
          <w:rFonts w:ascii="CESI仿宋-GB2312" w:eastAsia="CESI仿宋-GB2312" w:cs="CESI仿宋-GB2312" w:hint="eastAsia"/>
          <w:b/>
          <w:bCs/>
          <w:spacing w:val="-20"/>
          <w:sz w:val="32"/>
          <w:szCs w:val="40"/>
          <w:lang w:val="en-US" w:eastAsia="zh-CN"/>
        </w:rPr>
        <w:t>专家评审相关服务保障。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left="920" w:hangingChars="100" w:hanging="280"/>
        <w:jc w:val="left"/>
        <w:textAlignment w:val="auto"/>
        <w:rPr>
          <w:rFonts w:ascii="CESI仿宋-GB2312" w:eastAsia="CESI仿宋-GB2312" w:cs="CESI仿宋-GB2312"/>
          <w:b/>
          <w:bCs/>
          <w:spacing w:val="-20"/>
          <w:sz w:val="32"/>
          <w:szCs w:val="40"/>
          <w:lang w:val="en-US" w:eastAsia="zh-CN"/>
        </w:rPr>
      </w:pPr>
      <w:r>
        <w:rPr>
          <w:rFonts w:ascii="CESI仿宋-GB2312" w:eastAsia="CESI仿宋-GB2312" w:cs="CESI仿宋-GB2312" w:hint="eastAsia"/>
          <w:b/>
          <w:bCs/>
          <w:spacing w:val="-20"/>
          <w:sz w:val="32"/>
          <w:szCs w:val="40"/>
          <w:lang w:eastAsia="zh-CN"/>
        </w:rPr>
        <w:t>四川省文化产业发展专项资金支持项目监督检查。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预算限额</w:t>
      </w:r>
    </w:p>
    <w:p>
      <w:pPr>
        <w:keepNext w:val="0"/>
        <w:keepLines w:val="0"/>
        <w:pageBreakBefore w:val="0"/>
        <w:widowControl w:val="0"/>
        <w:kinsoku/>
        <w:wordWrap/>
        <w:overflowPunct/>
        <w:topLinePunct w:val="0"/>
        <w:autoSpaceDE/>
        <w:autoSpaceDN/>
        <w:bidi w:val="0"/>
        <w:adjustRightInd/>
        <w:snapToGrid/>
        <w:spacing w:line="560" w:lineRule="exact"/>
        <w:ind w:leftChars="200" w:left="64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人民币23万元。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报名方法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left"/>
        <w:textAlignment w:val="auto"/>
        <w:rPr>
          <w:rFonts w:ascii="CESI仿宋-GB2312" w:eastAsia="CESI仿宋-GB2312" w:cs="CESI仿宋-GB2312"/>
          <w:b/>
          <w:bCs/>
          <w:spacing w:val="-20"/>
          <w:sz w:val="32"/>
          <w:szCs w:val="40"/>
          <w:lang w:val="en-US" w:eastAsia="zh-CN"/>
        </w:rPr>
      </w:pPr>
      <w:r>
        <w:rPr>
          <w:rFonts w:ascii="CESI仿宋-GB2312" w:eastAsia="CESI仿宋-GB2312" w:cs="CESI仿宋-GB2312" w:hint="eastAsia"/>
          <w:b/>
          <w:bCs/>
          <w:spacing w:val="-20"/>
          <w:sz w:val="32"/>
          <w:szCs w:val="40"/>
          <w:lang w:val="en-US" w:eastAsia="zh-CN"/>
        </w:rPr>
        <w:t>请于2021年10月25日15</w:t>
      </w:r>
      <w:r>
        <w:rPr>
          <w:rFonts w:ascii="CESI仿宋-GB2312" w:eastAsia="CESI仿宋-GB2312" w:cs="CESI仿宋-GB2312"/>
          <w:b/>
          <w:bCs/>
          <w:spacing w:val="-20"/>
          <w:sz w:val="32"/>
          <w:szCs w:val="40"/>
          <w:lang w:eastAsia="zh-CN"/>
        </w:rPr>
        <w:t>:</w:t>
      </w:r>
      <w:r>
        <w:rPr>
          <w:rFonts w:ascii="CESI仿宋-GB2312" w:eastAsia="CESI仿宋-GB2312" w:cs="CESI仿宋-GB2312" w:hint="eastAsia"/>
          <w:b/>
          <w:bCs/>
          <w:spacing w:val="-20"/>
          <w:sz w:val="32"/>
          <w:szCs w:val="40"/>
          <w:lang w:val="en-US" w:eastAsia="zh-CN"/>
        </w:rPr>
        <w:t>00前提交一份纸质比选文件（密封，材料需加盖公章），并将报名回执（加盖公章）发送至邮箱</w:t>
      </w:r>
      <w:r>
        <w:rPr>
          <w:rFonts w:ascii="CESI仿宋-GB2312" w:eastAsia="CESI仿宋-GB2312" w:cs="CESI仿宋-GB2312"/>
          <w:b/>
          <w:bCs/>
          <w:spacing w:val="-20"/>
          <w:sz w:val="32"/>
          <w:szCs w:val="40"/>
          <w:lang w:eastAsia="zh-CN"/>
        </w:rPr>
        <w:t>swxcbxmk2021@126.com</w:t>
      </w:r>
      <w:r>
        <w:rPr>
          <w:rFonts w:ascii="CESI仿宋-GB2312" w:eastAsia="CESI仿宋-GB2312" w:cs="CESI仿宋-GB2312" w:hint="eastAsia"/>
          <w:b/>
          <w:bCs/>
          <w:spacing w:val="-20"/>
          <w:sz w:val="32"/>
          <w:szCs w:val="40"/>
          <w:lang w:eastAsia="zh-CN"/>
        </w:rPr>
        <w:t>。比选文件提交地址：成都市青羊区商业街</w:t>
      </w:r>
      <w:r>
        <w:rPr>
          <w:rFonts w:ascii="CESI仿宋-GB2312" w:eastAsia="CESI仿宋-GB2312" w:cs="CESI仿宋-GB2312" w:hint="eastAsia"/>
          <w:b/>
          <w:bCs/>
          <w:spacing w:val="-20"/>
          <w:sz w:val="32"/>
          <w:szCs w:val="40"/>
          <w:lang w:val="en-US" w:eastAsia="zh-CN"/>
        </w:rPr>
        <w:t>16号省委主楼1206办公室。联系人：</w:t>
      </w:r>
      <w:r>
        <w:rPr>
          <w:rFonts w:ascii="CESI仿宋-GB2312" w:eastAsia="CESI仿宋-GB2312" w:cs="CESI仿宋-GB2312"/>
          <w:b/>
          <w:bCs/>
          <w:spacing w:val="-20"/>
          <w:sz w:val="32"/>
          <w:szCs w:val="40"/>
          <w:lang w:val="en-US" w:eastAsia="zh-CN"/>
        </w:rPr>
        <w:t>李润权</w:t>
      </w:r>
      <w:r>
        <w:rPr>
          <w:rFonts w:ascii="CESI仿宋-GB2312" w:eastAsia="CESI仿宋-GB2312" w:cs="CESI仿宋-GB2312" w:hint="eastAsia"/>
          <w:b/>
          <w:bCs/>
          <w:spacing w:val="-20"/>
          <w:sz w:val="32"/>
          <w:szCs w:val="40"/>
          <w:lang w:val="en-US" w:eastAsia="zh-CN"/>
        </w:rPr>
        <w:t>，联系电话：1</w:t>
      </w:r>
      <w:r>
        <w:rPr>
          <w:rFonts w:ascii="CESI仿宋-GB2312" w:eastAsia="CESI仿宋-GB2312" w:cs="CESI仿宋-GB2312"/>
          <w:b/>
          <w:bCs/>
          <w:spacing w:val="-20"/>
          <w:sz w:val="32"/>
          <w:szCs w:val="40"/>
          <w:lang w:val="en-US" w:eastAsia="zh-CN"/>
        </w:rPr>
        <w:t>5208217774</w:t>
      </w:r>
      <w:r>
        <w:rPr>
          <w:rFonts w:ascii="CESI仿宋-GB2312" w:eastAsia="CESI仿宋-GB2312" w:cs="CESI仿宋-GB2312" w:hint="eastAsia"/>
          <w:b/>
          <w:bCs/>
          <w:spacing w:val="-20"/>
          <w:sz w:val="32"/>
          <w:szCs w:val="4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参与比选机构需提供材料</w:t>
      </w:r>
    </w:p>
    <w:p>
      <w:pPr>
        <w:keepNext w:val="0"/>
        <w:keepLines w:val="0"/>
        <w:pageBreakBefore w:val="0"/>
        <w:widowControl w:val="0"/>
        <w:kinsoku/>
        <w:wordWrap/>
        <w:overflowPunct/>
        <w:topLinePunct w:val="0"/>
        <w:autoSpaceDE/>
        <w:autoSpaceDN/>
        <w:bidi w:val="0"/>
        <w:adjustRightInd/>
        <w:snapToGrid/>
        <w:spacing w:line="560" w:lineRule="exact"/>
        <w:ind w:leftChars="200" w:left="64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（二）营业执照</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（三）单位从业资质</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（四）类似服务经验或成功案例</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（五）本次服务实施方案</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hint="eastAsia"/>
          <w:b/>
          <w:bCs/>
          <w:spacing w:val="-20"/>
          <w:sz w:val="32"/>
          <w:szCs w:val="40"/>
          <w:lang w:val="en-US" w:eastAsia="zh-CN"/>
        </w:rPr>
      </w:pPr>
      <w:r>
        <w:rPr>
          <w:rFonts w:ascii="CESI仿宋-GB2312" w:eastAsia="CESI仿宋-GB2312" w:cs="CESI仿宋-GB2312" w:hint="eastAsia"/>
          <w:b/>
          <w:bCs/>
          <w:spacing w:val="-20"/>
          <w:sz w:val="32"/>
          <w:szCs w:val="40"/>
          <w:lang w:val="en-US" w:eastAsia="zh-CN"/>
        </w:rPr>
        <w:t>（六）项目人员配备及资质情况说明（内含配备注册会计师人数和参与类似项目的情况）</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b/>
          <w:bCs/>
          <w:spacing w:val="-20"/>
          <w:sz w:val="32"/>
          <w:szCs w:val="40"/>
          <w:lang w:val="en-US" w:eastAsia="zh-CN"/>
        </w:rPr>
      </w:pPr>
      <w:r>
        <w:rPr>
          <w:rFonts w:ascii="CESI仿宋-GB2312" w:eastAsia="CESI仿宋-GB2312" w:cs="CESI仿宋-GB2312" w:hint="eastAsia"/>
          <w:b/>
          <w:bCs/>
          <w:spacing w:val="-20"/>
          <w:sz w:val="32"/>
          <w:szCs w:val="40"/>
          <w:lang w:val="en-US" w:eastAsia="zh-CN"/>
        </w:rPr>
        <w:t>（七）报价方案</w:t>
      </w: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b/>
          <w:bCs/>
          <w:spacing w:val="-2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sz w:val="40"/>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sz w:val="40"/>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sz w:val="40"/>
          <w:szCs w:val="28"/>
        </w:rPr>
      </w:pPr>
      <w:bookmarkStart w:id="0" w:name="_GoBack"/>
      <w:bookmarkEnd w:id="0"/>
      <w:r>
        <w:rPr>
          <w:rFonts w:ascii="黑体" w:eastAsia="黑体"/>
          <w:b/>
          <w:sz w:val="40"/>
          <w:szCs w:val="28"/>
        </w:rPr>
        <w:t>四川省文化产业发展项目库20</w:t>
      </w:r>
      <w:r>
        <w:rPr>
          <w:rFonts w:ascii="黑体" w:eastAsia="黑体" w:hint="eastAsia"/>
          <w:b/>
          <w:sz w:val="40"/>
          <w:szCs w:val="28"/>
        </w:rPr>
        <w:t>2</w:t>
      </w:r>
      <w:r>
        <w:rPr>
          <w:rFonts w:ascii="黑体" w:eastAsia="黑体" w:hint="eastAsia"/>
          <w:b/>
          <w:sz w:val="40"/>
          <w:szCs w:val="28"/>
          <w:lang w:val="en-US" w:eastAsia="zh-CN"/>
        </w:rPr>
        <w:t>1</w:t>
      </w:r>
      <w:r>
        <w:rPr>
          <w:rFonts w:ascii="黑体" w:eastAsia="黑体"/>
          <w:b/>
          <w:sz w:val="40"/>
          <w:szCs w:val="28"/>
        </w:rPr>
        <w:t>年度入库项目合规审核</w:t>
      </w:r>
      <w:r>
        <w:rPr>
          <w:rFonts w:ascii="黑体" w:eastAsia="黑体" w:hint="eastAsia"/>
          <w:b/>
          <w:sz w:val="40"/>
          <w:szCs w:val="28"/>
        </w:rPr>
        <w:t>中介</w:t>
      </w:r>
      <w:r>
        <w:rPr>
          <w:rFonts w:ascii="黑体" w:eastAsia="黑体"/>
          <w:b/>
          <w:sz w:val="40"/>
          <w:szCs w:val="28"/>
        </w:rPr>
        <w:t>机构比选</w:t>
      </w:r>
      <w:r>
        <w:rPr>
          <w:rFonts w:ascii="黑体" w:eastAsia="黑体" w:hint="eastAsia"/>
          <w:b/>
          <w:sz w:val="40"/>
          <w:szCs w:val="28"/>
        </w:rPr>
        <w:t>报名回执</w:t>
      </w:r>
    </w:p>
    <w:p>
      <w:pPr>
        <w:jc w:val="center"/>
        <w:rPr>
          <w:rFonts w:ascii="黑体" w:eastAsia="黑体"/>
          <w:b/>
          <w:sz w:val="32"/>
        </w:rPr>
      </w:pPr>
    </w:p>
    <w:tbl>
      <w:tblPr>
        <w:jc w:val="left"/>
        <w:tblInd w:w="0" w:type="dxa"/>
        <w:tblW w:w="50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3361"/>
        <w:gridCol w:w="3058"/>
        <w:gridCol w:w="2215"/>
      </w:tblGrid>
      <w:tr>
        <w:trPr>
          <w:trHeight w:val="846"/>
        </w:trPr>
        <w:tc>
          <w:tcPr>
            <w:tcW w:w="1946" w:type="pct"/>
            <w:tcBorders>
              <w:top w:val="single" w:sz="4" w:space="0" w:color="000000"/>
              <w:left w:val="single" w:sz="4" w:space="0" w:color="000000"/>
              <w:bottom w:val="single" w:sz="4" w:space="0" w:color="000000"/>
              <w:right w:val="single" w:sz="4" w:space="0" w:color="000000"/>
            </w:tcBorders>
            <w:noWrap/>
            <w:vAlign w:val="center"/>
          </w:tcPr>
          <w:p>
            <w:pPr>
              <w:jc w:val="center"/>
              <w:rPr>
                <w:rFonts w:ascii="黑体" w:eastAsia="黑体"/>
                <w:b/>
                <w:sz w:val="28"/>
              </w:rPr>
            </w:pPr>
            <w:r>
              <w:rPr>
                <w:rFonts w:ascii="黑体" w:eastAsia="黑体" w:hint="eastAsia"/>
                <w:b/>
                <w:sz w:val="28"/>
              </w:rPr>
              <w:t>机构名称</w:t>
            </w:r>
          </w:p>
        </w:tc>
        <w:tc>
          <w:tcPr>
            <w:tcW w:w="1770" w:type="pct"/>
            <w:tcBorders>
              <w:top w:val="single" w:sz="4" w:space="0" w:color="000000"/>
              <w:left w:val="single" w:sz="4" w:space="0" w:color="000000"/>
              <w:bottom w:val="single" w:sz="4" w:space="0" w:color="000000"/>
              <w:right w:val="single" w:sz="4" w:space="0" w:color="000000"/>
            </w:tcBorders>
            <w:noWrap/>
            <w:vAlign w:val="center"/>
          </w:tcPr>
          <w:p>
            <w:pPr>
              <w:jc w:val="center"/>
              <w:rPr>
                <w:rFonts w:ascii="黑体" w:eastAsia="黑体"/>
                <w:b/>
                <w:sz w:val="28"/>
              </w:rPr>
            </w:pPr>
            <w:r>
              <w:rPr>
                <w:rFonts w:ascii="黑体" w:eastAsia="黑体" w:hint="eastAsia"/>
                <w:b/>
                <w:sz w:val="28"/>
              </w:rPr>
              <w:t>联系人</w:t>
            </w:r>
          </w:p>
        </w:tc>
        <w:tc>
          <w:tcPr>
            <w:tcW w:w="1282" w:type="pct"/>
            <w:tcBorders>
              <w:top w:val="single" w:sz="4" w:space="0" w:color="000000"/>
              <w:left w:val="single" w:sz="4" w:space="0" w:color="000000"/>
              <w:bottom w:val="single" w:sz="4" w:space="0" w:color="000000"/>
              <w:right w:val="single" w:sz="4" w:space="0" w:color="000000"/>
            </w:tcBorders>
            <w:noWrap/>
            <w:vAlign w:val="center"/>
          </w:tcPr>
          <w:p>
            <w:pPr>
              <w:jc w:val="center"/>
              <w:rPr>
                <w:rFonts w:ascii="黑体" w:eastAsia="黑体"/>
                <w:b/>
                <w:sz w:val="28"/>
              </w:rPr>
            </w:pPr>
            <w:r>
              <w:rPr>
                <w:rFonts w:ascii="黑体" w:eastAsia="黑体" w:hint="eastAsia"/>
                <w:b/>
                <w:sz w:val="28"/>
              </w:rPr>
              <w:t>联系方式</w:t>
            </w:r>
          </w:p>
        </w:tc>
      </w:tr>
      <w:tr>
        <w:trPr>
          <w:trHeight w:val="1976"/>
        </w:trPr>
        <w:tc>
          <w:tcPr>
            <w:tcW w:w="1946" w:type="pct"/>
            <w:tcBorders>
              <w:top w:val="single" w:sz="4" w:space="0" w:color="000000"/>
              <w:left w:val="single" w:sz="4" w:space="0" w:color="000000"/>
              <w:bottom w:val="single" w:sz="4" w:space="0" w:color="000000"/>
              <w:right w:val="single" w:sz="4" w:space="0" w:color="000000"/>
            </w:tcBorders>
            <w:noWrap/>
            <w:vAlign w:val="center"/>
          </w:tcPr>
          <w:p>
            <w:pPr>
              <w:jc w:val="center"/>
              <w:rPr>
                <w:rFonts w:ascii="仿宋_GB2312" w:eastAsia="仿宋_GB2312"/>
                <w:b/>
                <w:sz w:val="32"/>
              </w:rPr>
            </w:pPr>
          </w:p>
        </w:tc>
        <w:tc>
          <w:tcPr>
            <w:tcW w:w="1770" w:type="pct"/>
            <w:tcBorders>
              <w:top w:val="single" w:sz="4" w:space="0" w:color="000000"/>
              <w:left w:val="single" w:sz="4" w:space="0" w:color="000000"/>
              <w:bottom w:val="single" w:sz="4" w:space="0" w:color="000000"/>
              <w:right w:val="single" w:sz="4" w:space="0" w:color="000000"/>
            </w:tcBorders>
            <w:noWrap/>
            <w:vAlign w:val="center"/>
          </w:tcPr>
          <w:p>
            <w:pPr>
              <w:jc w:val="center"/>
              <w:rPr>
                <w:rFonts w:ascii="仿宋_GB2312" w:eastAsia="仿宋_GB2312"/>
                <w:b/>
                <w:sz w:val="32"/>
              </w:rPr>
            </w:pPr>
          </w:p>
        </w:tc>
        <w:tc>
          <w:tcPr>
            <w:tcW w:w="1282" w:type="pct"/>
            <w:tcBorders>
              <w:top w:val="single" w:sz="4" w:space="0" w:color="000000"/>
              <w:left w:val="single" w:sz="4" w:space="0" w:color="000000"/>
              <w:bottom w:val="single" w:sz="4" w:space="0" w:color="000000"/>
              <w:right w:val="single" w:sz="4" w:space="0" w:color="000000"/>
            </w:tcBorders>
            <w:noWrap/>
            <w:vAlign w:val="center"/>
          </w:tcPr>
          <w:p>
            <w:pPr>
              <w:jc w:val="center"/>
              <w:rPr>
                <w:rFonts w:ascii="仿宋_GB2312" w:eastAsia="仿宋_GB2312"/>
                <w:b/>
                <w:sz w:val="32"/>
              </w:rPr>
            </w:pPr>
          </w:p>
        </w:tc>
      </w:tr>
    </w:tbl>
    <w:p>
      <w:pPr>
        <w:jc w:val="left"/>
        <w:rPr>
          <w:rFonts w:ascii="黑体" w:eastAsia="黑体"/>
          <w:b/>
          <w:sz w:val="28"/>
        </w:rPr>
      </w:pPr>
      <w:r>
        <w:rPr>
          <w:rFonts w:ascii="黑体" w:eastAsia="黑体" w:hint="eastAsia"/>
          <w:b/>
          <w:sz w:val="28"/>
        </w:rPr>
        <w:t>备注：请在机构名称处加盖公章后扫描发送至指定邮箱。</w:t>
      </w:r>
    </w:p>
    <w:p>
      <w:pPr>
        <w:rPr>
          <w:sz w:val="32"/>
        </w:rPr>
      </w:pPr>
    </w:p>
    <w:p>
      <w:pPr>
        <w:rPr>
          <w:rFonts w:eastAsia="宋体" w:hint="eastAsia"/>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200" w:left="640" w:firstLine="0"/>
        <w:jc w:val="left"/>
        <w:textAlignment w:val="auto"/>
        <w:rPr>
          <w:rFonts w:ascii="CESI仿宋-GB2312" w:eastAsia="CESI仿宋-GB2312" w:cs="CESI仿宋-GB2312"/>
          <w:b/>
          <w:bCs/>
          <w:spacing w:val="-20"/>
          <w:sz w:val="32"/>
          <w:szCs w:val="40"/>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auto"/>
    <w:pitch w:val="variable"/>
    <w:sig w:usb0="A00002BF" w:usb1="38CF7CFA" w:usb2="00082016" w:usb3="00000000" w:csb0="00040001" w:csb1="00000000"/>
  </w:font>
  <w:font w:name="CESI仿宋-GB2312">
    <w:panose1 w:val="02000500000000000000"/>
    <w:charset w:val="86"/>
    <w:family w:val="auto"/>
    <w:pitch w:val="variable"/>
    <w:sig w:usb0="800002AF" w:usb1="084F6CF8" w:usb2="00000010" w:usb3="00000000" w:csb0="0004000F" w:csb1="00000000"/>
  </w:font>
  <w:font w:name="黑体">
    <w:altName w:val="方正黑体_GBK"/>
    <w:panose1 w:val="00000000000000000000"/>
    <w:charset w:val="00"/>
    <w:family w:val="auto"/>
    <w:pitch w:val="variable"/>
    <w:sig w:usb0="00000000" w:usb1="00000000" w:usb2="00000000" w:usb3="00000000" w:csb0="00000000" w:csb1="00000000"/>
  </w:font>
  <w:font w:name="仿宋_GB2312">
    <w:panose1 w:val="00000000000000000000"/>
    <w:charset w:val="00"/>
    <w:family w:val="auto"/>
    <w:pitch w:val="variable"/>
    <w:sig w:usb0="00000000" w:usb1="00000000" w:usb2="00000000" w:usb3="00000000" w:csb0="00000000" w:csb1="00000000"/>
  </w:font>
  <w:font w:name="宋体">
    <w:altName w:val="方正书宋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00000000" w:usb1="00000000" w:usb2="00000001"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F7E690E"/>
    <w:multiLevelType w:val="singleLevel"/>
    <w:tmpl w:val="BF7E690E"/>
    <w:lvl w:ilvl="0">
      <w:start w:val="1"/>
      <w:numFmt w:val="chineseCounting"/>
      <w:lvlRestart w:val="0"/>
      <w:suff w:val="nothing"/>
      <w:lvlText w:val="%1、"/>
      <w:lvlJc w:val="left"/>
      <w:pPr>
        <w:tabs>
          <w:tab w:val="num" w:pos="0"/>
        </w:tabs>
        <w:ind w:left="0" w:hanging="0"/>
      </w:pPr>
      <w:rPr>
        <w:rFonts w:hint="eastAsia"/>
      </w:rPr>
    </w:lvl>
  </w:abstractNum>
  <w:abstractNum w:abstractNumId="1">
    <w:nsid w:val="E8DD72A3"/>
    <w:multiLevelType w:val="singleLevel"/>
    <w:tmpl w:val="E8DD72A3"/>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ESI仿宋-GB2312" w:hAnsi="Calibri"/>
      <w:b/>
      <w:bCs/>
      <w:kern w:val="2"/>
      <w:sz w:val="32"/>
      <w:szCs w:val="40"/>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3</Pages>
  <Words>862</Words>
  <Characters>932</Characters>
  <Lines>62</Lines>
  <Paragraphs>30</Paragraphs>
  <CharactersWithSpaces>937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2021-08-16T17:28:00Z</dcterms:created>
  <dcterms:modified xsi:type="dcterms:W3CDTF">2021-10-19T01:17:47Z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2052-11.1.0.10161</vt:lpwstr>
  </property>
</Properties>
</file>