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 w:beforeLines="10" w:after="31" w:afterLines="10" w:line="480" w:lineRule="auto"/>
        <w:jc w:val="center"/>
        <w:rPr>
          <w:rFonts w:hint="default" w:ascii="Times New Roman" w:hAnsi="Times New Roman" w:eastAsia="方正小标宋简体" w:cs="Times New Roman"/>
          <w:bCs/>
          <w:color w:val="auto"/>
          <w:sz w:val="36"/>
          <w:szCs w:val="36"/>
        </w:rPr>
      </w:pPr>
      <w:bookmarkStart w:id="0" w:name="_Hlk129687501"/>
    </w:p>
    <w:p>
      <w:pPr>
        <w:spacing w:before="31" w:beforeLines="10" w:after="31" w:afterLines="10" w:line="480" w:lineRule="auto"/>
        <w:jc w:val="center"/>
        <w:rPr>
          <w:rFonts w:hint="default" w:ascii="Times New Roman" w:hAnsi="Times New Roman" w:eastAsia="方正小标宋简体" w:cs="Times New Roman"/>
          <w:bCs/>
          <w:color w:val="auto"/>
          <w:sz w:val="36"/>
          <w:szCs w:val="36"/>
        </w:rPr>
      </w:pPr>
    </w:p>
    <w:p>
      <w:pPr>
        <w:spacing w:before="31" w:beforeLines="10" w:after="31" w:afterLines="10" w:line="480" w:lineRule="auto"/>
        <w:jc w:val="center"/>
        <w:rPr>
          <w:rFonts w:hint="default" w:ascii="Times New Roman" w:hAnsi="Times New Roman" w:eastAsia="方正小标宋简体" w:cs="Times New Roman"/>
          <w:bCs/>
          <w:color w:val="auto"/>
          <w:sz w:val="36"/>
          <w:szCs w:val="36"/>
        </w:rPr>
      </w:pPr>
      <w:r>
        <w:rPr>
          <w:rFonts w:hint="default" w:ascii="Times New Roman" w:hAnsi="Times New Roman" w:eastAsia="方正小标宋简体" w:cs="Times New Roman"/>
          <w:bCs/>
          <w:color w:val="auto"/>
          <w:sz w:val="36"/>
          <w:szCs w:val="36"/>
        </w:rPr>
        <w:t>四川省文化产业发展促进中心</w:t>
      </w:r>
      <w:bookmarkEnd w:id="0"/>
      <w:r>
        <w:rPr>
          <w:rFonts w:hint="default" w:ascii="Times New Roman" w:hAnsi="Times New Roman" w:eastAsia="方正小标宋简体" w:cs="Times New Roman"/>
          <w:bCs/>
          <w:color w:val="auto"/>
          <w:sz w:val="36"/>
          <w:szCs w:val="36"/>
        </w:rPr>
        <w:t>（四川省对外文化交流中心）</w:t>
      </w:r>
      <w:r>
        <w:rPr>
          <w:rFonts w:hint="eastAsia" w:ascii="Times New Roman" w:hAnsi="Times New Roman" w:eastAsia="方正小标宋简体" w:cs="Times New Roman"/>
          <w:bCs/>
          <w:color w:val="auto"/>
          <w:sz w:val="36"/>
          <w:szCs w:val="36"/>
          <w:lang w:eastAsia="zh-CN"/>
        </w:rPr>
        <w:t>2024年度采购招标</w:t>
      </w:r>
      <w:r>
        <w:rPr>
          <w:rFonts w:hint="default" w:ascii="Times New Roman" w:hAnsi="Times New Roman" w:eastAsia="方正小标宋简体" w:cs="Times New Roman"/>
          <w:bCs/>
          <w:color w:val="auto"/>
          <w:sz w:val="36"/>
          <w:szCs w:val="36"/>
        </w:rPr>
        <w:t>代理机构服务项目</w:t>
      </w:r>
    </w:p>
    <w:p>
      <w:pPr>
        <w:jc w:val="center"/>
        <w:rPr>
          <w:rFonts w:hint="default" w:ascii="Times New Roman" w:hAnsi="Times New Roman" w:eastAsia="方正小标宋简体" w:cs="Times New Roman"/>
          <w:color w:val="auto"/>
          <w:sz w:val="72"/>
          <w:szCs w:val="72"/>
        </w:rPr>
      </w:pPr>
    </w:p>
    <w:p>
      <w:pPr>
        <w:jc w:val="center"/>
        <w:rPr>
          <w:rFonts w:hint="default" w:ascii="Times New Roman" w:hAnsi="Times New Roman" w:eastAsia="方正小标宋简体" w:cs="Times New Roman"/>
          <w:color w:val="auto"/>
          <w:sz w:val="72"/>
          <w:szCs w:val="72"/>
        </w:rPr>
      </w:pPr>
    </w:p>
    <w:p>
      <w:pPr>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比</w:t>
      </w:r>
      <w:bookmarkStart w:id="31" w:name="_GoBack"/>
      <w:bookmarkEnd w:id="31"/>
    </w:p>
    <w:p>
      <w:pPr>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选</w:t>
      </w:r>
    </w:p>
    <w:p>
      <w:pPr>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文</w:t>
      </w:r>
    </w:p>
    <w:p>
      <w:pPr>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件</w:t>
      </w:r>
    </w:p>
    <w:p>
      <w:pPr>
        <w:jc w:val="center"/>
        <w:rPr>
          <w:rFonts w:hint="default" w:ascii="Times New Roman" w:hAnsi="Times New Roman" w:eastAsia="方正小标宋简体" w:cs="Times New Roman"/>
          <w:color w:val="auto"/>
          <w:sz w:val="72"/>
          <w:szCs w:val="72"/>
        </w:rPr>
      </w:pPr>
    </w:p>
    <w:p>
      <w:pPr>
        <w:jc w:val="center"/>
        <w:rPr>
          <w:rFonts w:hint="default" w:ascii="Times New Roman" w:hAnsi="Times New Roman" w:eastAsia="方正小标宋简体" w:cs="Times New Roman"/>
          <w:color w:val="auto"/>
          <w:sz w:val="72"/>
          <w:szCs w:val="72"/>
        </w:rPr>
      </w:pPr>
    </w:p>
    <w:p>
      <w:pPr>
        <w:spacing w:before="31" w:beforeLines="10" w:after="31" w:afterLines="10" w:line="480" w:lineRule="auto"/>
        <w:jc w:val="center"/>
        <w:rPr>
          <w:rFonts w:hint="default" w:ascii="Times New Roman" w:hAnsi="Times New Roman" w:eastAsia="方正小标宋简体" w:cs="Times New Roman"/>
          <w:bCs/>
          <w:color w:val="auto"/>
          <w:sz w:val="36"/>
          <w:szCs w:val="36"/>
        </w:rPr>
      </w:pPr>
      <w:r>
        <w:rPr>
          <w:rFonts w:hint="default" w:ascii="Times New Roman" w:hAnsi="Times New Roman" w:eastAsia="方正小标宋简体" w:cs="Times New Roman"/>
          <w:bCs/>
          <w:color w:val="auto"/>
          <w:sz w:val="36"/>
          <w:szCs w:val="36"/>
        </w:rPr>
        <w:t>比选人：四川省文化产业发展促进中心（四川省对外文化交流中心）</w:t>
      </w:r>
    </w:p>
    <w:p>
      <w:pPr>
        <w:spacing w:before="31" w:beforeLines="10" w:after="31" w:afterLines="10" w:line="480" w:lineRule="auto"/>
        <w:jc w:val="center"/>
        <w:rPr>
          <w:rFonts w:hint="default" w:ascii="Times New Roman" w:hAnsi="Times New Roman" w:eastAsia="方正小标宋简体" w:cs="Times New Roman"/>
          <w:bCs/>
          <w:color w:val="auto"/>
          <w:kern w:val="44"/>
          <w:sz w:val="36"/>
          <w:szCs w:val="36"/>
        </w:rPr>
      </w:pPr>
      <w:r>
        <w:rPr>
          <w:rFonts w:hint="default" w:ascii="Times New Roman" w:hAnsi="Times New Roman" w:eastAsia="方正小标宋简体" w:cs="Times New Roman"/>
          <w:bCs/>
          <w:color w:val="auto"/>
          <w:sz w:val="36"/>
          <w:szCs w:val="36"/>
        </w:rPr>
        <w:t>二〇二</w:t>
      </w:r>
      <w:r>
        <w:rPr>
          <w:rFonts w:hint="eastAsia" w:ascii="Times New Roman" w:hAnsi="Times New Roman" w:eastAsia="方正小标宋简体" w:cs="Times New Roman"/>
          <w:bCs/>
          <w:color w:val="auto"/>
          <w:sz w:val="36"/>
          <w:szCs w:val="36"/>
          <w:lang w:val="en-US" w:eastAsia="zh-CN"/>
        </w:rPr>
        <w:t>四</w:t>
      </w:r>
      <w:r>
        <w:rPr>
          <w:rFonts w:hint="default" w:ascii="Times New Roman" w:hAnsi="Times New Roman" w:eastAsia="方正小标宋简体" w:cs="Times New Roman"/>
          <w:bCs/>
          <w:color w:val="auto"/>
          <w:sz w:val="36"/>
          <w:szCs w:val="36"/>
        </w:rPr>
        <w:t>年</w:t>
      </w:r>
      <w:r>
        <w:rPr>
          <w:rFonts w:hint="eastAsia" w:ascii="Times New Roman" w:hAnsi="Times New Roman" w:eastAsia="方正小标宋简体" w:cs="Times New Roman"/>
          <w:bCs/>
          <w:color w:val="auto"/>
          <w:sz w:val="36"/>
          <w:szCs w:val="36"/>
          <w:lang w:val="en-US" w:eastAsia="zh-CN"/>
        </w:rPr>
        <w:t>一</w:t>
      </w:r>
      <w:r>
        <w:rPr>
          <w:rFonts w:hint="default" w:ascii="Times New Roman" w:hAnsi="Times New Roman" w:eastAsia="方正小标宋简体" w:cs="Times New Roman"/>
          <w:bCs/>
          <w:color w:val="auto"/>
          <w:sz w:val="36"/>
          <w:szCs w:val="36"/>
        </w:rPr>
        <w:t>月</w:t>
      </w:r>
    </w:p>
    <w:p>
      <w:pPr>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bCs/>
          <w:color w:val="auto"/>
          <w:kern w:val="44"/>
          <w:sz w:val="32"/>
          <w:szCs w:val="32"/>
        </w:rPr>
        <w:br w:type="page"/>
      </w:r>
      <w:r>
        <w:rPr>
          <w:rFonts w:hint="eastAsia" w:ascii="Times New Roman" w:hAnsi="Times New Roman" w:eastAsia="仿宋_GB2312" w:cs="Times New Roman"/>
          <w:bCs/>
          <w:color w:val="auto"/>
          <w:kern w:val="44"/>
          <w:sz w:val="32"/>
          <w:szCs w:val="32"/>
          <w:lang w:val="en-US" w:eastAsia="zh-CN"/>
        </w:rPr>
        <w:t xml:space="preserve">    </w:t>
      </w:r>
      <w:r>
        <w:rPr>
          <w:rFonts w:hint="default" w:ascii="Times New Roman" w:hAnsi="Times New Roman" w:eastAsia="仿宋_GB2312" w:cs="Times New Roman"/>
          <w:color w:val="auto"/>
          <w:sz w:val="32"/>
          <w:szCs w:val="32"/>
          <w:u w:val="none"/>
        </w:rPr>
        <w:t>四川省文化产业发展促进中心（四川省对外文化交流中心）拟对</w:t>
      </w:r>
      <w:r>
        <w:rPr>
          <w:rFonts w:hint="eastAsia" w:ascii="Times New Roman" w:hAnsi="Times New Roman" w:eastAsia="仿宋_GB2312" w:cs="Times New Roman"/>
          <w:color w:val="auto"/>
          <w:sz w:val="32"/>
          <w:szCs w:val="32"/>
          <w:u w:val="none"/>
          <w:lang w:eastAsia="zh-CN"/>
        </w:rPr>
        <w:t>2024年度采购招标</w:t>
      </w:r>
      <w:r>
        <w:rPr>
          <w:rFonts w:hint="default" w:ascii="Times New Roman" w:hAnsi="Times New Roman" w:eastAsia="仿宋_GB2312" w:cs="Times New Roman"/>
          <w:color w:val="auto"/>
          <w:sz w:val="32"/>
          <w:szCs w:val="32"/>
          <w:u w:val="none"/>
        </w:rPr>
        <w:t>代理机构服务项目</w:t>
      </w:r>
      <w:r>
        <w:rPr>
          <w:rFonts w:hint="default" w:ascii="Times New Roman" w:hAnsi="Times New Roman" w:eastAsia="仿宋_GB2312" w:cs="Times New Roman"/>
          <w:bCs/>
          <w:color w:val="auto"/>
          <w:kern w:val="44"/>
          <w:sz w:val="32"/>
          <w:szCs w:val="32"/>
        </w:rPr>
        <w:t>进行公开比选，兹邀请符合本次招标要求的供应商参加。</w:t>
      </w:r>
    </w:p>
    <w:p>
      <w:pPr>
        <w:spacing w:line="520" w:lineRule="exact"/>
        <w:ind w:right="-1" w:firstLine="640" w:firstLineChars="200"/>
        <w:rPr>
          <w:rFonts w:hint="default" w:ascii="Times New Roman" w:hAnsi="Times New Roman" w:eastAsia="仿宋_GB2312" w:cs="Times New Roman"/>
          <w:color w:val="auto"/>
          <w:kern w:val="44"/>
          <w:sz w:val="32"/>
          <w:szCs w:val="32"/>
          <w:lang w:eastAsia="zh-CN"/>
        </w:rPr>
      </w:pPr>
      <w:r>
        <w:rPr>
          <w:rFonts w:hint="default" w:ascii="Times New Roman" w:hAnsi="Times New Roman" w:eastAsia="黑体" w:cs="Times New Roman"/>
          <w:color w:val="auto"/>
          <w:kern w:val="44"/>
          <w:sz w:val="32"/>
          <w:szCs w:val="32"/>
        </w:rPr>
        <w:t>一、比选</w:t>
      </w:r>
      <w:r>
        <w:rPr>
          <w:rFonts w:hint="default" w:ascii="Times New Roman" w:hAnsi="Times New Roman" w:eastAsia="黑体" w:cs="Times New Roman"/>
          <w:color w:val="auto"/>
          <w:kern w:val="44"/>
          <w:sz w:val="32"/>
          <w:szCs w:val="32"/>
          <w:lang w:eastAsia="zh-CN"/>
        </w:rPr>
        <w:t>内容</w:t>
      </w:r>
    </w:p>
    <w:p>
      <w:pPr>
        <w:spacing w:line="520" w:lineRule="exact"/>
        <w:ind w:right="-1" w:firstLine="640" w:firstLineChars="200"/>
        <w:rPr>
          <w:rFonts w:hint="default" w:ascii="Times New Roman" w:hAnsi="Times New Roman" w:eastAsia="仿宋_GB2312" w:cs="Times New Roman"/>
          <w:color w:val="auto"/>
          <w:kern w:val="44"/>
          <w:sz w:val="32"/>
          <w:szCs w:val="32"/>
        </w:rPr>
      </w:pPr>
      <w:bookmarkStart w:id="1" w:name="_Toc170621328"/>
      <w:bookmarkStart w:id="2" w:name="_Toc157235895"/>
      <w:bookmarkStart w:id="3" w:name="_Toc319145197"/>
      <w:bookmarkStart w:id="4" w:name="_Toc170625692"/>
      <w:bookmarkStart w:id="5" w:name="_Toc170621196"/>
      <w:r>
        <w:rPr>
          <w:rFonts w:hint="default" w:ascii="Times New Roman" w:hAnsi="Times New Roman" w:eastAsia="仿宋_GB2312" w:cs="Times New Roman"/>
          <w:color w:val="auto"/>
          <w:kern w:val="44"/>
          <w:sz w:val="32"/>
          <w:szCs w:val="32"/>
        </w:rPr>
        <w:t>四川省文化产业发展促进中心（四川省对外文化交流中心）拟</w:t>
      </w:r>
      <w:r>
        <w:rPr>
          <w:rFonts w:hint="default" w:ascii="Times New Roman" w:hAnsi="Times New Roman" w:eastAsia="仿宋_GB2312" w:cs="Times New Roman"/>
          <w:color w:val="auto"/>
          <w:kern w:val="44"/>
          <w:sz w:val="32"/>
          <w:szCs w:val="32"/>
          <w:lang w:eastAsia="zh-CN"/>
        </w:rPr>
        <w:t>通过比选方式择优确定</w:t>
      </w:r>
      <w:r>
        <w:rPr>
          <w:rFonts w:hint="eastAsia" w:ascii="Times New Roman" w:hAnsi="Times New Roman" w:eastAsia="仿宋_GB2312" w:cs="Times New Roman"/>
          <w:color w:val="auto"/>
          <w:kern w:val="44"/>
          <w:sz w:val="32"/>
          <w:szCs w:val="32"/>
          <w:lang w:eastAsia="zh-CN"/>
        </w:rPr>
        <w:t>2024年度采购招标</w:t>
      </w:r>
      <w:r>
        <w:rPr>
          <w:rFonts w:hint="default" w:ascii="Times New Roman" w:hAnsi="Times New Roman" w:eastAsia="仿宋_GB2312" w:cs="Times New Roman"/>
          <w:color w:val="auto"/>
          <w:kern w:val="44"/>
          <w:sz w:val="32"/>
          <w:szCs w:val="32"/>
        </w:rPr>
        <w:t>代理机构</w:t>
      </w:r>
      <w:r>
        <w:rPr>
          <w:rFonts w:hint="default" w:ascii="Times New Roman" w:hAnsi="Times New Roman" w:eastAsia="仿宋_GB2312" w:cs="Times New Roman"/>
          <w:color w:val="auto"/>
          <w:kern w:val="44"/>
          <w:sz w:val="32"/>
          <w:szCs w:val="32"/>
          <w:lang w:val="en-US" w:eastAsia="zh-CN"/>
        </w:rPr>
        <w:t>1</w:t>
      </w:r>
      <w:r>
        <w:rPr>
          <w:rFonts w:hint="default" w:ascii="Times New Roman" w:hAnsi="Times New Roman" w:eastAsia="仿宋_GB2312" w:cs="Times New Roman"/>
          <w:color w:val="auto"/>
          <w:kern w:val="44"/>
          <w:sz w:val="32"/>
          <w:szCs w:val="32"/>
        </w:rPr>
        <w:t>名。</w:t>
      </w:r>
    </w:p>
    <w:p>
      <w:pPr>
        <w:numPr>
          <w:ilvl w:val="0"/>
          <w:numId w:val="0"/>
        </w:numPr>
        <w:spacing w:line="520" w:lineRule="exact"/>
        <w:ind w:right="-1" w:rightChars="0"/>
        <w:rPr>
          <w:rFonts w:hint="default" w:ascii="Times New Roman" w:hAnsi="Times New Roman" w:eastAsia="黑体" w:cs="Times New Roman"/>
          <w:color w:val="auto"/>
          <w:kern w:val="44"/>
          <w:sz w:val="32"/>
          <w:szCs w:val="32"/>
        </w:rPr>
      </w:pPr>
      <w:r>
        <w:rPr>
          <w:rFonts w:hint="default" w:ascii="Times New Roman" w:hAnsi="Times New Roman" w:eastAsia="仿宋_GB2312" w:cs="Times New Roman"/>
          <w:color w:val="auto"/>
          <w:kern w:val="44"/>
          <w:sz w:val="32"/>
          <w:szCs w:val="32"/>
          <w:lang w:val="en-US" w:eastAsia="zh-CN"/>
        </w:rPr>
        <w:t>　　</w:t>
      </w:r>
      <w:r>
        <w:rPr>
          <w:rFonts w:hint="default" w:ascii="Times New Roman" w:hAnsi="Times New Roman" w:eastAsia="黑体" w:cs="Times New Roman"/>
          <w:color w:val="auto"/>
          <w:kern w:val="44"/>
          <w:sz w:val="32"/>
          <w:szCs w:val="32"/>
          <w:lang w:val="en-US" w:eastAsia="zh-CN"/>
        </w:rPr>
        <w:t>二、</w:t>
      </w:r>
      <w:r>
        <w:rPr>
          <w:rFonts w:hint="default" w:ascii="Times New Roman" w:hAnsi="Times New Roman" w:eastAsia="黑体" w:cs="Times New Roman"/>
          <w:color w:val="auto"/>
          <w:kern w:val="44"/>
          <w:sz w:val="32"/>
          <w:szCs w:val="32"/>
        </w:rPr>
        <w:t>资金来源</w:t>
      </w:r>
    </w:p>
    <w:bookmarkEnd w:id="1"/>
    <w:bookmarkEnd w:id="2"/>
    <w:bookmarkEnd w:id="3"/>
    <w:bookmarkEnd w:id="4"/>
    <w:bookmarkEnd w:id="5"/>
    <w:p>
      <w:pPr>
        <w:spacing w:line="520" w:lineRule="exact"/>
        <w:ind w:right="-1" w:firstLine="640" w:firstLineChars="200"/>
        <w:rPr>
          <w:rFonts w:hint="default" w:ascii="Times New Roman" w:hAnsi="Times New Roman" w:eastAsia="仿宋_GB2312" w:cs="Times New Roman"/>
          <w:color w:val="auto"/>
          <w:kern w:val="44"/>
          <w:sz w:val="32"/>
          <w:szCs w:val="32"/>
        </w:rPr>
      </w:pPr>
      <w:bookmarkStart w:id="6" w:name="_Toc170625693"/>
      <w:bookmarkStart w:id="7" w:name="_Toc170621329"/>
      <w:bookmarkStart w:id="8" w:name="_Toc157235896"/>
      <w:bookmarkStart w:id="9" w:name="_Toc170621197"/>
      <w:bookmarkStart w:id="10" w:name="_Toc319145198"/>
      <w:r>
        <w:rPr>
          <w:rFonts w:hint="default" w:ascii="Times New Roman" w:hAnsi="Times New Roman" w:eastAsia="仿宋_GB2312" w:cs="Times New Roman"/>
          <w:color w:val="auto"/>
          <w:kern w:val="44"/>
          <w:sz w:val="32"/>
          <w:szCs w:val="32"/>
        </w:rPr>
        <w:t>财政资金。</w:t>
      </w:r>
    </w:p>
    <w:bookmarkEnd w:id="6"/>
    <w:bookmarkEnd w:id="7"/>
    <w:bookmarkEnd w:id="8"/>
    <w:bookmarkEnd w:id="9"/>
    <w:bookmarkEnd w:id="10"/>
    <w:p>
      <w:pPr>
        <w:adjustRightInd w:val="0"/>
        <w:snapToGrid w:val="0"/>
        <w:spacing w:line="520" w:lineRule="exact"/>
        <w:ind w:right="-1" w:firstLine="640" w:firstLineChars="200"/>
        <w:rPr>
          <w:rFonts w:hint="default" w:ascii="Times New Roman" w:hAnsi="Times New Roman" w:eastAsia="黑体" w:cs="Times New Roman"/>
          <w:color w:val="auto"/>
          <w:kern w:val="44"/>
          <w:sz w:val="32"/>
          <w:szCs w:val="32"/>
        </w:rPr>
      </w:pPr>
      <w:r>
        <w:rPr>
          <w:rFonts w:hint="eastAsia" w:ascii="Times New Roman" w:hAnsi="Times New Roman" w:eastAsia="黑体" w:cs="Times New Roman"/>
          <w:color w:val="auto"/>
          <w:kern w:val="44"/>
          <w:sz w:val="32"/>
          <w:szCs w:val="32"/>
          <w:lang w:val="en-US" w:eastAsia="zh-CN"/>
        </w:rPr>
        <w:t>三</w:t>
      </w:r>
      <w:r>
        <w:rPr>
          <w:rFonts w:hint="default" w:ascii="Times New Roman" w:hAnsi="Times New Roman" w:eastAsia="黑体" w:cs="Times New Roman"/>
          <w:color w:val="auto"/>
          <w:kern w:val="44"/>
          <w:sz w:val="32"/>
          <w:szCs w:val="32"/>
        </w:rPr>
        <w:t>、比选申请文件</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比选申请书的格式</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比选申请书可按附件“比选申请书格式”进行编写，也可自行拟定，但必须包括“比选申请书格式”的各项内容。本比选文件要求的证明文件比选申请人必须提供，本比选文件没有要求的证明文件，比选申请人认为需要提供的，也可以提供。</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 比选申请书应全部用不褪色的墨水（粉）书写或打印，不得有任何涂改。比选申请书副本应由正本复制而成（包括证明文件）。</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1.3 比选申请书必须用中文书写，包括正本一份、副本贰份。正本和副本的封面上应清楚的标记“正本”和“副本”的字样。正副本内容应完全一致，如不一致时，以正本为准。</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比选申请书的密封、</w:t>
      </w:r>
      <w:r>
        <w:rPr>
          <w:rFonts w:hint="default" w:ascii="Times New Roman" w:hAnsi="Times New Roman" w:eastAsia="仿宋_GB2312" w:cs="Times New Roman"/>
          <w:color w:val="auto"/>
          <w:sz w:val="32"/>
          <w:szCs w:val="32"/>
          <w:lang w:eastAsia="zh-CN"/>
        </w:rPr>
        <w:t>标识</w:t>
      </w:r>
      <w:r>
        <w:rPr>
          <w:rFonts w:hint="default" w:ascii="Times New Roman" w:hAnsi="Times New Roman" w:eastAsia="仿宋_GB2312" w:cs="Times New Roman"/>
          <w:color w:val="auto"/>
          <w:sz w:val="32"/>
          <w:szCs w:val="32"/>
        </w:rPr>
        <w:t>及盖章</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2.1比选申请人应在比选申请书封面加盖单位公章，比选申请书侧面加盖骑缝章，否则申请书无效。</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2.2 比选申请书的密封与标识</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比选申请书的正本与副本应一起包装，比选申请书的外包装应保证其密封性并加盖密封章，并注明“年月日前不得开启”。否则申请书无效。</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比选申请文件的构成</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比选申请文件内容构成如下：</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（1）比选申请人资格条件证明材料；</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（2）法定代表人授权书；</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（3）比选申请人机构简介；</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（4）比选申请人代理的202</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至今</w:t>
      </w:r>
      <w:r>
        <w:rPr>
          <w:rFonts w:hint="eastAsia" w:ascii="Times New Roman" w:hAnsi="Times New Roman" w:eastAsia="仿宋_GB2312" w:cs="Times New Roman"/>
          <w:color w:val="auto"/>
          <w:sz w:val="32"/>
          <w:szCs w:val="32"/>
          <w:lang w:val="en-US" w:eastAsia="zh-CN"/>
        </w:rPr>
        <w:t>宣传思想文化领域</w:t>
      </w:r>
      <w:r>
        <w:rPr>
          <w:rFonts w:hint="default" w:ascii="Times New Roman" w:hAnsi="Times New Roman" w:eastAsia="仿宋_GB2312" w:cs="Times New Roman"/>
          <w:color w:val="auto"/>
          <w:sz w:val="32"/>
          <w:szCs w:val="32"/>
        </w:rPr>
        <w:t>采购业绩</w:t>
      </w:r>
      <w:r>
        <w:rPr>
          <w:rFonts w:hint="default" w:ascii="Times New Roman" w:hAnsi="Times New Roman" w:eastAsia="仿宋_GB2312" w:cs="Times New Roman"/>
          <w:color w:val="auto"/>
          <w:sz w:val="32"/>
          <w:szCs w:val="32"/>
          <w:lang w:val="en-US" w:eastAsia="zh-CN"/>
        </w:rPr>
        <w:t>清单</w:t>
      </w:r>
      <w:r>
        <w:rPr>
          <w:rFonts w:hint="default" w:ascii="Times New Roman" w:hAnsi="Times New Roman" w:eastAsia="仿宋_GB2312" w:cs="Times New Roman"/>
          <w:color w:val="auto"/>
          <w:sz w:val="32"/>
          <w:szCs w:val="32"/>
        </w:rPr>
        <w:t>；</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（5）拟投入本项目专业人员表；</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开评标场地情况；</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）比选申请人招标代理服务方案；</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 xml:space="preserve">）比选申请人其它证明材料。 </w:t>
      </w:r>
    </w:p>
    <w:p>
      <w:pPr>
        <w:adjustRightInd w:val="0"/>
        <w:snapToGrid w:val="0"/>
        <w:spacing w:line="520" w:lineRule="exact"/>
        <w:ind w:right="-1" w:firstLine="640" w:firstLineChars="200"/>
        <w:rPr>
          <w:rFonts w:hint="default" w:ascii="Times New Roman" w:hAnsi="Times New Roman" w:eastAsia="黑体" w:cs="Times New Roman"/>
          <w:color w:val="auto"/>
          <w:kern w:val="44"/>
          <w:sz w:val="32"/>
          <w:szCs w:val="32"/>
        </w:rPr>
      </w:pPr>
      <w:r>
        <w:rPr>
          <w:rFonts w:hint="eastAsia" w:ascii="Times New Roman" w:hAnsi="Times New Roman" w:eastAsia="黑体" w:cs="Times New Roman"/>
          <w:color w:val="auto"/>
          <w:kern w:val="44"/>
          <w:sz w:val="32"/>
          <w:szCs w:val="32"/>
          <w:lang w:val="en-US" w:eastAsia="zh-CN"/>
        </w:rPr>
        <w:t>四</w:t>
      </w:r>
      <w:r>
        <w:rPr>
          <w:rFonts w:hint="default" w:ascii="Times New Roman" w:hAnsi="Times New Roman" w:eastAsia="黑体" w:cs="Times New Roman"/>
          <w:color w:val="auto"/>
          <w:kern w:val="44"/>
          <w:sz w:val="32"/>
          <w:szCs w:val="32"/>
        </w:rPr>
        <w:t>、本采购项目严禁中选人将任何采购合同义务转包</w:t>
      </w:r>
    </w:p>
    <w:p>
      <w:pPr>
        <w:adjustRightInd w:val="0"/>
        <w:snapToGrid w:val="0"/>
        <w:spacing w:line="520" w:lineRule="exact"/>
        <w:ind w:right="-1" w:firstLine="640" w:firstLineChars="200"/>
        <w:rPr>
          <w:rFonts w:hint="default" w:ascii="Times New Roman" w:hAnsi="Times New Roman" w:eastAsia="黑体" w:cs="Times New Roman"/>
          <w:color w:val="auto"/>
          <w:kern w:val="44"/>
          <w:sz w:val="32"/>
          <w:szCs w:val="32"/>
        </w:rPr>
      </w:pPr>
      <w:r>
        <w:rPr>
          <w:rFonts w:hint="eastAsia" w:ascii="Times New Roman" w:hAnsi="Times New Roman" w:eastAsia="黑体" w:cs="Times New Roman"/>
          <w:color w:val="auto"/>
          <w:kern w:val="44"/>
          <w:sz w:val="32"/>
          <w:szCs w:val="32"/>
          <w:lang w:val="en-US" w:eastAsia="zh-CN"/>
        </w:rPr>
        <w:t>五</w:t>
      </w:r>
      <w:r>
        <w:rPr>
          <w:rFonts w:hint="default" w:ascii="Times New Roman" w:hAnsi="Times New Roman" w:eastAsia="黑体" w:cs="Times New Roman"/>
          <w:color w:val="auto"/>
          <w:kern w:val="44"/>
          <w:sz w:val="32"/>
          <w:szCs w:val="32"/>
        </w:rPr>
        <w:t>、定标、公示、签约</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比选人根据评选组的综合评选结果确定中选人。</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中选单位收到中选通知书5个工作日内须根据比选文件及相关规定与比选单位协商签订合同。</w:t>
      </w:r>
    </w:p>
    <w:p>
      <w:pPr>
        <w:adjustRightInd w:val="0"/>
        <w:snapToGrid w:val="0"/>
        <w:spacing w:line="520" w:lineRule="exact"/>
        <w:ind w:right="-1" w:firstLine="640" w:firstLineChars="200"/>
        <w:rPr>
          <w:rFonts w:hint="default" w:ascii="Times New Roman" w:hAnsi="Times New Roman" w:eastAsia="黑体" w:cs="Times New Roman"/>
          <w:color w:val="auto"/>
          <w:kern w:val="44"/>
          <w:sz w:val="32"/>
          <w:szCs w:val="32"/>
        </w:rPr>
      </w:pPr>
      <w:r>
        <w:rPr>
          <w:rFonts w:hint="eastAsia" w:ascii="Times New Roman" w:hAnsi="Times New Roman" w:eastAsia="黑体" w:cs="Times New Roman"/>
          <w:color w:val="auto"/>
          <w:kern w:val="44"/>
          <w:sz w:val="32"/>
          <w:szCs w:val="32"/>
          <w:lang w:val="en-US" w:eastAsia="zh-CN"/>
        </w:rPr>
        <w:t>六</w:t>
      </w:r>
      <w:r>
        <w:rPr>
          <w:rFonts w:hint="default" w:ascii="Times New Roman" w:hAnsi="Times New Roman" w:eastAsia="黑体" w:cs="Times New Roman"/>
          <w:color w:val="auto"/>
          <w:kern w:val="44"/>
          <w:sz w:val="32"/>
          <w:szCs w:val="32"/>
        </w:rPr>
        <w:t>、代理服务要求</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科学规范的制作招标（采购）文件，国家相关部门对文件格式有要求的，必须严格按照发布的范本格式制作。</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根据项目情况，拟定合理的采购工作推进计划，向比选人提供招标（采购）前期政策法规咨询，保证政府采购程序合理合法。</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发现项目技术和商务条款中有潜在的法规风险或履约风险的，应及时向比选人提出防范意见。</w:t>
      </w:r>
    </w:p>
    <w:p>
      <w:pPr>
        <w:adjustRightInd w:val="0"/>
        <w:snapToGrid w:val="0"/>
        <w:spacing w:line="520" w:lineRule="exact"/>
        <w:ind w:right="-1" w:firstLine="640"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配合比选人做好政府采购需求论证工作。</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负责在指定媒体发布采购公告和组织项目开标会（资格预审会）、评标会等相关活动。完成项目评标报告，协助比选人定标并做好相关备案工作。</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项目委托事项全部完成后，负责向比选人提供本次采购项目的完整档案资料，并在规定时间内向有关行政监督部门备案。</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在遵守国家法律法规的前提下，最大限度的维护比选人的合法权益。</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保证本单位代理人员及时到位服务，不得随意更换项目文件中载明的工作人员，更不得非法转让委托事项。</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若比选人需要，须无条件配合比选人组织踏勘工作和有关项目验收工作。</w:t>
      </w:r>
    </w:p>
    <w:p>
      <w:pPr>
        <w:adjustRightInd w:val="0"/>
        <w:snapToGrid w:val="0"/>
        <w:spacing w:line="520" w:lineRule="exact"/>
        <w:ind w:right="-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遵守职业道德规范，对采购活动中比选人和比选申请人的各种资料严格保密，自觉接受有关部门依法实施的监督。</w:t>
      </w:r>
    </w:p>
    <w:p>
      <w:pPr>
        <w:adjustRightInd/>
        <w:snapToGrid/>
        <w:spacing w:line="520" w:lineRule="exact"/>
        <w:ind w:right="-1" w:firstLine="640" w:firstLineChars="200"/>
        <w:jc w:val="left"/>
        <w:rPr>
          <w:rFonts w:hint="default" w:ascii="Times New Roman" w:hAnsi="Times New Roman" w:eastAsia="黑体" w:cs="Times New Roman"/>
          <w:color w:val="auto"/>
          <w:kern w:val="44"/>
          <w:sz w:val="32"/>
          <w:szCs w:val="32"/>
        </w:rPr>
      </w:pPr>
      <w:r>
        <w:rPr>
          <w:rFonts w:hint="eastAsia" w:ascii="Times New Roman" w:hAnsi="Times New Roman" w:eastAsia="黑体" w:cs="Times New Roman"/>
          <w:color w:val="auto"/>
          <w:kern w:val="44"/>
          <w:sz w:val="32"/>
          <w:szCs w:val="32"/>
          <w:lang w:val="en-US" w:eastAsia="zh-CN"/>
        </w:rPr>
        <w:t>七</w:t>
      </w:r>
      <w:r>
        <w:rPr>
          <w:rFonts w:hint="default" w:ascii="Times New Roman" w:hAnsi="Times New Roman" w:eastAsia="黑体" w:cs="Times New Roman"/>
          <w:color w:val="auto"/>
          <w:kern w:val="44"/>
          <w:sz w:val="32"/>
          <w:szCs w:val="32"/>
        </w:rPr>
        <w:t>、评审因素</w:t>
      </w:r>
    </w:p>
    <w:p>
      <w:pPr>
        <w:adjustRightInd/>
        <w:snapToGrid/>
        <w:spacing w:line="520" w:lineRule="exact"/>
        <w:ind w:right="-1" w:firstLine="640" w:firstLineChars="200"/>
        <w:jc w:val="left"/>
        <w:rPr>
          <w:rFonts w:hint="default" w:ascii="Times New Roman" w:hAnsi="Times New Roman" w:eastAsia="黑体" w:cs="Times New Roman"/>
          <w:color w:val="auto"/>
          <w:kern w:val="44"/>
          <w:sz w:val="32"/>
          <w:szCs w:val="32"/>
        </w:rPr>
      </w:pPr>
    </w:p>
    <w:tbl>
      <w:tblPr>
        <w:tblStyle w:val="8"/>
        <w:tblW w:w="5214"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467"/>
        <w:gridCol w:w="1013"/>
        <w:gridCol w:w="692"/>
        <w:gridCol w:w="4195"/>
        <w:gridCol w:w="25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95" w:hRule="atLeast"/>
        </w:trPr>
        <w:tc>
          <w:tcPr>
            <w:tcW w:w="270" w:type="pct"/>
            <w:vAlign w:val="center"/>
          </w:tcPr>
          <w:p>
            <w:pPr>
              <w:widowControl/>
              <w:spacing w:line="400" w:lineRule="exact"/>
              <w:jc w:val="center"/>
              <w:rPr>
                <w:rFonts w:hint="default" w:ascii="Times New Roman" w:hAnsi="Times New Roman" w:cs="Times New Roman"/>
                <w:b/>
                <w:bCs/>
                <w:color w:val="auto"/>
                <w:kern w:val="0"/>
                <w:sz w:val="24"/>
              </w:rPr>
            </w:pPr>
            <w:bookmarkStart w:id="11" w:name="_Toc170621212"/>
            <w:bookmarkStart w:id="12" w:name="_Toc170621344"/>
            <w:bookmarkStart w:id="13" w:name="_Toc157235910"/>
            <w:bookmarkStart w:id="14" w:name="_Toc319791935"/>
            <w:r>
              <w:rPr>
                <w:rFonts w:hint="default" w:ascii="Times New Roman" w:hAnsi="Times New Roman" w:cs="Times New Roman"/>
                <w:b/>
                <w:bCs/>
                <w:color w:val="auto"/>
                <w:kern w:val="0"/>
                <w:sz w:val="24"/>
              </w:rPr>
              <w:t>序号</w:t>
            </w:r>
          </w:p>
        </w:tc>
        <w:tc>
          <w:tcPr>
            <w:tcW w:w="577" w:type="pct"/>
            <w:vAlign w:val="center"/>
          </w:tcPr>
          <w:p>
            <w:pPr>
              <w:widowControl/>
              <w:spacing w:line="400" w:lineRule="exact"/>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评分因素</w:t>
            </w:r>
          </w:p>
        </w:tc>
        <w:tc>
          <w:tcPr>
            <w:tcW w:w="360" w:type="pct"/>
            <w:vAlign w:val="center"/>
          </w:tcPr>
          <w:p>
            <w:pPr>
              <w:widowControl/>
              <w:spacing w:line="400" w:lineRule="exact"/>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分值</w:t>
            </w:r>
          </w:p>
        </w:tc>
        <w:tc>
          <w:tcPr>
            <w:tcW w:w="2367" w:type="pct"/>
            <w:vAlign w:val="center"/>
          </w:tcPr>
          <w:p>
            <w:pPr>
              <w:widowControl/>
              <w:spacing w:line="400" w:lineRule="exact"/>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评分标准</w:t>
            </w:r>
          </w:p>
        </w:tc>
        <w:tc>
          <w:tcPr>
            <w:tcW w:w="1425" w:type="pct"/>
            <w:vAlign w:val="center"/>
          </w:tcPr>
          <w:p>
            <w:pPr>
              <w:widowControl/>
              <w:spacing w:line="400" w:lineRule="exact"/>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说    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60" w:hRule="atLeast"/>
        </w:trPr>
        <w:tc>
          <w:tcPr>
            <w:tcW w:w="467" w:type="dxa"/>
            <w:vAlign w:val="center"/>
          </w:tcPr>
          <w:p>
            <w:pPr>
              <w:widowControl/>
              <w:spacing w:line="400" w:lineRule="exact"/>
              <w:jc w:val="center"/>
              <w:rPr>
                <w:rFonts w:hint="eastAsia" w:ascii="Times New Roman" w:hAnsi="Times New Roman" w:eastAsia="宋体" w:cs="Times New Roman"/>
                <w:color w:val="auto"/>
                <w:kern w:val="0"/>
                <w:sz w:val="24"/>
                <w:lang w:eastAsia="zh-CN"/>
              </w:rPr>
            </w:pPr>
            <w:r>
              <w:rPr>
                <w:rFonts w:hint="eastAsia" w:ascii="Times New Roman" w:hAnsi="Times New Roman" w:cs="Times New Roman"/>
                <w:color w:val="auto"/>
                <w:kern w:val="0"/>
                <w:sz w:val="24"/>
                <w:lang w:val="en-US" w:eastAsia="zh-CN"/>
              </w:rPr>
              <w:t>1</w:t>
            </w:r>
          </w:p>
        </w:tc>
        <w:tc>
          <w:tcPr>
            <w:tcW w:w="1013" w:type="dxa"/>
            <w:vAlign w:val="center"/>
          </w:tcPr>
          <w:p>
            <w:pPr>
              <w:widowControl/>
              <w:spacing w:line="400" w:lineRule="exact"/>
              <w:jc w:val="center"/>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企业实力</w:t>
            </w:r>
          </w:p>
        </w:tc>
        <w:tc>
          <w:tcPr>
            <w:tcW w:w="692" w:type="dxa"/>
            <w:vAlign w:val="center"/>
          </w:tcPr>
          <w:p>
            <w:pPr>
              <w:widowControl/>
              <w:spacing w:line="400" w:lineRule="exact"/>
              <w:jc w:val="center"/>
              <w:rPr>
                <w:rFonts w:hint="default" w:ascii="Times New Roman" w:hAnsi="Times New Roman" w:eastAsia="宋体" w:cs="Times New Roman"/>
                <w:color w:val="auto"/>
                <w:w w:val="99"/>
                <w:kern w:val="2"/>
                <w:sz w:val="24"/>
                <w:szCs w:val="24"/>
                <w:lang w:val="en-US" w:eastAsia="zh-CN" w:bidi="ar-SA"/>
              </w:rPr>
            </w:pPr>
            <w:r>
              <w:rPr>
                <w:rFonts w:hint="eastAsia" w:ascii="Times New Roman" w:hAnsi="Times New Roman" w:eastAsia="宋体" w:cs="Times New Roman"/>
                <w:color w:val="auto"/>
                <w:w w:val="99"/>
                <w:kern w:val="2"/>
                <w:sz w:val="24"/>
                <w:szCs w:val="24"/>
                <w:lang w:val="en-US" w:eastAsia="zh-CN" w:bidi="ar-SA"/>
              </w:rPr>
              <w:t>10</w:t>
            </w:r>
            <w:r>
              <w:rPr>
                <w:rFonts w:hint="default" w:ascii="Times New Roman" w:hAnsi="Times New Roman" w:eastAsia="宋体" w:cs="Times New Roman"/>
                <w:color w:val="auto"/>
                <w:w w:val="99"/>
                <w:kern w:val="2"/>
                <w:sz w:val="24"/>
                <w:szCs w:val="24"/>
                <w:lang w:val="en-US" w:eastAsia="zh-CN" w:bidi="ar-SA"/>
              </w:rPr>
              <w:t>分</w:t>
            </w:r>
          </w:p>
        </w:tc>
        <w:tc>
          <w:tcPr>
            <w:tcW w:w="4195" w:type="dxa"/>
            <w:vAlign w:val="center"/>
          </w:tcPr>
          <w:p>
            <w:pPr>
              <w:widowControl/>
              <w:spacing w:line="400" w:lineRule="exact"/>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比选申请人近三年</w:t>
            </w:r>
            <w:r>
              <w:rPr>
                <w:rFonts w:hint="eastAsia" w:ascii="Times New Roman" w:hAnsi="Times New Roman" w:eastAsia="宋体" w:cs="Times New Roman"/>
                <w:color w:val="auto"/>
                <w:w w:val="99"/>
                <w:kern w:val="2"/>
                <w:sz w:val="24"/>
                <w:szCs w:val="24"/>
                <w:lang w:val="en-US" w:eastAsia="zh-CN" w:bidi="ar-SA"/>
              </w:rPr>
              <w:t>被</w:t>
            </w:r>
            <w:r>
              <w:rPr>
                <w:rFonts w:hint="default" w:ascii="Times New Roman" w:hAnsi="Times New Roman" w:eastAsia="宋体" w:cs="Times New Roman"/>
                <w:color w:val="auto"/>
                <w:w w:val="99"/>
                <w:kern w:val="2"/>
                <w:sz w:val="24"/>
                <w:szCs w:val="24"/>
                <w:lang w:val="en-US" w:eastAsia="zh-CN" w:bidi="ar-SA"/>
              </w:rPr>
              <w:t>国家级机关授权或指定的采购招标权威媒体（如：中国政府采购网、中国国际招标网、中国政府采购报、中国采购与招标网等）评选</w:t>
            </w:r>
            <w:r>
              <w:rPr>
                <w:rFonts w:hint="eastAsia" w:ascii="Times New Roman" w:hAnsi="Times New Roman" w:eastAsia="宋体" w:cs="Times New Roman"/>
                <w:color w:val="auto"/>
                <w:w w:val="99"/>
                <w:kern w:val="2"/>
                <w:sz w:val="24"/>
                <w:szCs w:val="24"/>
                <w:lang w:val="en-US" w:eastAsia="zh-CN" w:bidi="ar-SA"/>
              </w:rPr>
              <w:t>为</w:t>
            </w:r>
            <w:r>
              <w:rPr>
                <w:rFonts w:hint="default" w:ascii="Times New Roman" w:hAnsi="Times New Roman" w:eastAsia="宋体" w:cs="Times New Roman"/>
                <w:color w:val="auto"/>
                <w:w w:val="99"/>
                <w:kern w:val="2"/>
                <w:sz w:val="24"/>
                <w:szCs w:val="24"/>
                <w:lang w:val="en-US" w:eastAsia="zh-CN" w:bidi="ar-SA"/>
              </w:rPr>
              <w:t>中国范围内的“优秀代理机构”</w:t>
            </w:r>
            <w:r>
              <w:rPr>
                <w:rFonts w:hint="eastAsia" w:ascii="Times New Roman" w:hAnsi="Times New Roman" w:eastAsia="宋体" w:cs="Times New Roman"/>
                <w:color w:val="auto"/>
                <w:w w:val="99"/>
                <w:kern w:val="2"/>
                <w:sz w:val="24"/>
                <w:szCs w:val="24"/>
                <w:lang w:val="en-US" w:eastAsia="zh-CN" w:bidi="ar-SA"/>
              </w:rPr>
              <w:t>得5分，被评为招投标行业</w:t>
            </w:r>
            <w:r>
              <w:rPr>
                <w:rFonts w:hint="default" w:ascii="Times New Roman" w:hAnsi="Times New Roman" w:eastAsia="宋体" w:cs="Times New Roman"/>
                <w:color w:val="auto"/>
                <w:w w:val="99"/>
                <w:kern w:val="2"/>
                <w:sz w:val="24"/>
                <w:szCs w:val="24"/>
                <w:lang w:val="en-US" w:eastAsia="zh-CN" w:bidi="ar-SA"/>
              </w:rPr>
              <w:t>“十佳招标代理机构”的得</w:t>
            </w:r>
            <w:r>
              <w:rPr>
                <w:rFonts w:hint="eastAsia" w:ascii="Times New Roman" w:hAnsi="Times New Roman" w:eastAsia="宋体" w:cs="Times New Roman"/>
                <w:color w:val="auto"/>
                <w:w w:val="99"/>
                <w:kern w:val="2"/>
                <w:sz w:val="24"/>
                <w:szCs w:val="24"/>
                <w:lang w:val="en-US" w:eastAsia="zh-CN" w:bidi="ar-SA"/>
              </w:rPr>
              <w:t>5</w:t>
            </w:r>
            <w:r>
              <w:rPr>
                <w:rFonts w:hint="default" w:ascii="Times New Roman" w:hAnsi="Times New Roman" w:eastAsia="宋体" w:cs="Times New Roman"/>
                <w:color w:val="auto"/>
                <w:w w:val="99"/>
                <w:kern w:val="2"/>
                <w:sz w:val="24"/>
                <w:szCs w:val="24"/>
                <w:lang w:val="en-US" w:eastAsia="zh-CN" w:bidi="ar-SA"/>
              </w:rPr>
              <w:t>分</w:t>
            </w:r>
            <w:r>
              <w:rPr>
                <w:rFonts w:hint="eastAsia" w:ascii="Times New Roman" w:hAnsi="Times New Roman" w:cs="Times New Roman"/>
                <w:color w:val="auto"/>
                <w:w w:val="99"/>
                <w:kern w:val="2"/>
                <w:sz w:val="24"/>
                <w:szCs w:val="24"/>
                <w:lang w:val="en-US" w:eastAsia="zh-CN" w:bidi="ar-SA"/>
              </w:rPr>
              <w:t>。</w:t>
            </w:r>
          </w:p>
        </w:tc>
        <w:tc>
          <w:tcPr>
            <w:tcW w:w="2520" w:type="dxa"/>
            <w:vAlign w:val="center"/>
          </w:tcPr>
          <w:p>
            <w:pPr>
              <w:widowControl/>
              <w:spacing w:line="400" w:lineRule="exact"/>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提供相关证书复印</w:t>
            </w:r>
            <w:r>
              <w:rPr>
                <w:rFonts w:hint="eastAsia" w:ascii="Times New Roman" w:hAnsi="Times New Roman" w:eastAsia="宋体" w:cs="Times New Roman"/>
                <w:color w:val="auto"/>
                <w:w w:val="99"/>
                <w:kern w:val="2"/>
                <w:sz w:val="24"/>
                <w:szCs w:val="24"/>
                <w:lang w:val="en-US" w:eastAsia="zh-CN" w:bidi="ar-SA"/>
              </w:rPr>
              <w:t>件</w:t>
            </w:r>
            <w:r>
              <w:rPr>
                <w:rFonts w:hint="default" w:ascii="Times New Roman" w:hAnsi="Times New Roman" w:eastAsia="宋体" w:cs="Times New Roman"/>
                <w:color w:val="auto"/>
                <w:w w:val="99"/>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92" w:hRule="atLeast"/>
        </w:trPr>
        <w:tc>
          <w:tcPr>
            <w:tcW w:w="270" w:type="pct"/>
            <w:vAlign w:val="center"/>
          </w:tcPr>
          <w:p>
            <w:pPr>
              <w:widowControl/>
              <w:spacing w:line="400" w:lineRule="exact"/>
              <w:jc w:val="center"/>
              <w:rPr>
                <w:rFonts w:hint="eastAsia" w:ascii="Times New Roman" w:hAnsi="Times New Roman" w:eastAsia="宋体" w:cs="Times New Roman"/>
                <w:color w:val="auto"/>
                <w:kern w:val="0"/>
                <w:sz w:val="24"/>
                <w:lang w:eastAsia="zh-CN"/>
              </w:rPr>
            </w:pPr>
            <w:r>
              <w:rPr>
                <w:rFonts w:hint="eastAsia" w:ascii="Times New Roman" w:hAnsi="Times New Roman" w:cs="Times New Roman"/>
                <w:color w:val="auto"/>
                <w:kern w:val="0"/>
                <w:sz w:val="24"/>
                <w:lang w:val="en-US" w:eastAsia="zh-CN"/>
              </w:rPr>
              <w:t>2</w:t>
            </w:r>
          </w:p>
        </w:tc>
        <w:tc>
          <w:tcPr>
            <w:tcW w:w="577" w:type="pct"/>
            <w:vAlign w:val="center"/>
          </w:tcPr>
          <w:p>
            <w:pPr>
              <w:widowControl/>
              <w:spacing w:line="400" w:lineRule="exact"/>
              <w:jc w:val="center"/>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企业业绩</w:t>
            </w:r>
          </w:p>
        </w:tc>
        <w:tc>
          <w:tcPr>
            <w:tcW w:w="360" w:type="pct"/>
            <w:vAlign w:val="center"/>
          </w:tcPr>
          <w:p>
            <w:pPr>
              <w:widowControl/>
              <w:spacing w:line="400" w:lineRule="exact"/>
              <w:jc w:val="center"/>
              <w:rPr>
                <w:rFonts w:hint="default" w:ascii="Times New Roman" w:hAnsi="Times New Roman" w:eastAsia="宋体" w:cs="Times New Roman"/>
                <w:color w:val="auto"/>
                <w:w w:val="99"/>
                <w:kern w:val="2"/>
                <w:sz w:val="24"/>
                <w:szCs w:val="24"/>
                <w:lang w:val="en-US" w:eastAsia="zh-CN" w:bidi="ar-SA"/>
              </w:rPr>
            </w:pPr>
            <w:r>
              <w:rPr>
                <w:rFonts w:hint="eastAsia" w:ascii="Times New Roman" w:hAnsi="Times New Roman" w:eastAsia="宋体" w:cs="Times New Roman"/>
                <w:color w:val="auto"/>
                <w:w w:val="99"/>
                <w:kern w:val="2"/>
                <w:sz w:val="24"/>
                <w:szCs w:val="24"/>
                <w:lang w:val="en-US" w:eastAsia="zh-CN" w:bidi="ar-SA"/>
              </w:rPr>
              <w:t>25</w:t>
            </w:r>
            <w:r>
              <w:rPr>
                <w:rFonts w:hint="default" w:ascii="Times New Roman" w:hAnsi="Times New Roman" w:eastAsia="宋体" w:cs="Times New Roman"/>
                <w:color w:val="auto"/>
                <w:w w:val="99"/>
                <w:kern w:val="2"/>
                <w:sz w:val="24"/>
                <w:szCs w:val="24"/>
                <w:lang w:val="en-US" w:eastAsia="zh-CN" w:bidi="ar-SA"/>
              </w:rPr>
              <w:t>分</w:t>
            </w:r>
          </w:p>
        </w:tc>
        <w:tc>
          <w:tcPr>
            <w:tcW w:w="2367" w:type="pct"/>
            <w:vAlign w:val="center"/>
          </w:tcPr>
          <w:p>
            <w:pPr>
              <w:pStyle w:val="15"/>
              <w:spacing w:line="360" w:lineRule="exact"/>
              <w:ind w:firstLine="0"/>
              <w:jc w:val="left"/>
              <w:rPr>
                <w:rFonts w:hint="default" w:ascii="Times New Roman" w:hAnsi="Times New Roman" w:eastAsia="宋体" w:cs="Times New Roman"/>
                <w:color w:val="auto"/>
                <w:w w:val="99"/>
                <w:kern w:val="2"/>
                <w:sz w:val="24"/>
                <w:szCs w:val="24"/>
                <w:lang w:val="en-US" w:eastAsia="zh-CN" w:bidi="ar-SA"/>
              </w:rPr>
            </w:pPr>
            <w:r>
              <w:rPr>
                <w:rFonts w:hint="eastAsia" w:ascii="Times New Roman" w:hAnsi="Times New Roman" w:eastAsia="宋体" w:cs="Times New Roman"/>
                <w:color w:val="auto"/>
                <w:w w:val="99"/>
                <w:kern w:val="2"/>
                <w:sz w:val="24"/>
                <w:szCs w:val="24"/>
                <w:lang w:val="en-US" w:eastAsia="zh-CN" w:bidi="ar-SA"/>
              </w:rPr>
              <w:t>2021年至今，代理过</w:t>
            </w:r>
            <w:r>
              <w:rPr>
                <w:rFonts w:hint="eastAsia" w:cs="Times New Roman"/>
                <w:color w:val="auto"/>
                <w:w w:val="99"/>
                <w:kern w:val="2"/>
                <w:sz w:val="24"/>
                <w:szCs w:val="24"/>
                <w:lang w:val="en-US" w:eastAsia="zh-CN" w:bidi="ar-SA"/>
              </w:rPr>
              <w:t>宣传思想文化领域的</w:t>
            </w:r>
            <w:r>
              <w:rPr>
                <w:rFonts w:hint="eastAsia" w:ascii="Times New Roman" w:hAnsi="Times New Roman" w:eastAsia="宋体" w:cs="Times New Roman"/>
                <w:color w:val="auto"/>
                <w:w w:val="99"/>
                <w:kern w:val="2"/>
                <w:sz w:val="24"/>
                <w:szCs w:val="24"/>
                <w:lang w:val="en-US" w:eastAsia="zh-CN" w:bidi="ar-SA"/>
              </w:rPr>
              <w:t>业绩数量排名第一的得25分，第二得20分，第三得15分，</w:t>
            </w:r>
            <w:r>
              <w:rPr>
                <w:rFonts w:hint="default" w:ascii="Times New Roman" w:hAnsi="Times New Roman" w:eastAsia="宋体" w:cs="Times New Roman"/>
                <w:color w:val="auto"/>
                <w:w w:val="99"/>
                <w:kern w:val="2"/>
                <w:sz w:val="24"/>
                <w:szCs w:val="24"/>
                <w:lang w:val="en-US" w:eastAsia="zh-CN" w:bidi="ar-SA"/>
              </w:rPr>
              <w:t>其余得</w:t>
            </w:r>
            <w:r>
              <w:rPr>
                <w:rFonts w:hint="eastAsia" w:ascii="Times New Roman" w:hAnsi="Times New Roman" w:eastAsia="宋体" w:cs="Times New Roman"/>
                <w:color w:val="auto"/>
                <w:w w:val="99"/>
                <w:kern w:val="2"/>
                <w:sz w:val="24"/>
                <w:szCs w:val="24"/>
                <w:lang w:val="en-US" w:eastAsia="zh-CN" w:bidi="ar-SA"/>
              </w:rPr>
              <w:t>10</w:t>
            </w:r>
            <w:r>
              <w:rPr>
                <w:rFonts w:hint="default" w:ascii="Times New Roman" w:hAnsi="Times New Roman" w:eastAsia="宋体" w:cs="Times New Roman"/>
                <w:color w:val="auto"/>
                <w:w w:val="99"/>
                <w:kern w:val="2"/>
                <w:sz w:val="24"/>
                <w:szCs w:val="24"/>
                <w:lang w:val="en-US" w:eastAsia="zh-CN" w:bidi="ar-SA"/>
              </w:rPr>
              <w:t>分</w:t>
            </w:r>
            <w:r>
              <w:rPr>
                <w:rFonts w:hint="eastAsia" w:ascii="Times New Roman" w:hAnsi="Times New Roman" w:eastAsia="宋体" w:cs="Times New Roman"/>
                <w:color w:val="auto"/>
                <w:w w:val="99"/>
                <w:kern w:val="2"/>
                <w:sz w:val="24"/>
                <w:szCs w:val="24"/>
                <w:lang w:val="en-US" w:eastAsia="zh-CN" w:bidi="ar-SA"/>
              </w:rPr>
              <w:t>。</w:t>
            </w:r>
          </w:p>
        </w:tc>
        <w:tc>
          <w:tcPr>
            <w:tcW w:w="1425" w:type="pct"/>
            <w:vAlign w:val="center"/>
          </w:tcPr>
          <w:p>
            <w:pPr>
              <w:widowControl/>
              <w:spacing w:line="400" w:lineRule="exact"/>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提供</w:t>
            </w:r>
            <w:r>
              <w:rPr>
                <w:rFonts w:hint="eastAsia" w:ascii="Times New Roman" w:hAnsi="Times New Roman" w:cs="Times New Roman"/>
                <w:color w:val="auto"/>
                <w:w w:val="99"/>
                <w:kern w:val="2"/>
                <w:sz w:val="24"/>
                <w:szCs w:val="24"/>
                <w:lang w:val="en-US" w:eastAsia="zh-CN" w:bidi="ar-SA"/>
              </w:rPr>
              <w:t>宣传思想文化领域</w:t>
            </w:r>
            <w:r>
              <w:rPr>
                <w:rFonts w:hint="default" w:ascii="Times New Roman" w:hAnsi="Times New Roman" w:eastAsia="宋体" w:cs="Times New Roman"/>
                <w:color w:val="auto"/>
                <w:w w:val="99"/>
                <w:kern w:val="2"/>
                <w:sz w:val="24"/>
                <w:szCs w:val="24"/>
                <w:lang w:val="en-US" w:eastAsia="zh-CN" w:bidi="ar-SA"/>
              </w:rPr>
              <w:t>项目业绩清单证明</w:t>
            </w:r>
            <w:r>
              <w:rPr>
                <w:rFonts w:hint="eastAsia" w:ascii="Times New Roman" w:hAnsi="Times New Roman" w:cs="Times New Roman"/>
                <w:color w:val="auto"/>
                <w:w w:val="99"/>
                <w:kern w:val="2"/>
                <w:sz w:val="24"/>
                <w:szCs w:val="24"/>
                <w:lang w:val="en-US" w:eastAsia="zh-CN" w:bidi="ar-SA"/>
              </w:rPr>
              <w:t>资料</w:t>
            </w:r>
            <w:r>
              <w:rPr>
                <w:rFonts w:hint="default" w:ascii="Times New Roman" w:hAnsi="Times New Roman" w:eastAsia="宋体" w:cs="Times New Roman"/>
                <w:color w:val="auto"/>
                <w:w w:val="99"/>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16" w:hRule="atLeast"/>
        </w:trPr>
        <w:tc>
          <w:tcPr>
            <w:tcW w:w="270" w:type="pct"/>
            <w:vMerge w:val="restart"/>
            <w:vAlign w:val="center"/>
          </w:tcPr>
          <w:p>
            <w:pPr>
              <w:pStyle w:val="15"/>
              <w:spacing w:line="360" w:lineRule="exact"/>
              <w:jc w:val="center"/>
              <w:rPr>
                <w:rFonts w:hint="eastAsia" w:ascii="Times New Roman" w:hAnsi="Times New Roman" w:eastAsia="宋体" w:cs="Times New Roman"/>
                <w:color w:val="auto"/>
                <w:kern w:val="0"/>
                <w:sz w:val="24"/>
                <w:lang w:eastAsia="zh-CN"/>
              </w:rPr>
            </w:pPr>
            <w:r>
              <w:rPr>
                <w:rFonts w:hint="eastAsia" w:eastAsia="仿宋_GB2312"/>
                <w:b/>
                <w:bCs/>
                <w:sz w:val="24"/>
                <w:szCs w:val="24"/>
                <w:lang w:val="en-US" w:eastAsia="zh-CN"/>
              </w:rPr>
              <w:t>3</w:t>
            </w:r>
          </w:p>
        </w:tc>
        <w:tc>
          <w:tcPr>
            <w:tcW w:w="577" w:type="pct"/>
            <w:vMerge w:val="restart"/>
            <w:vAlign w:val="center"/>
          </w:tcPr>
          <w:p>
            <w:pPr>
              <w:pStyle w:val="15"/>
              <w:spacing w:line="360" w:lineRule="exact"/>
              <w:jc w:val="center"/>
              <w:rPr>
                <w:rFonts w:hint="default" w:ascii="Times New Roman" w:hAnsi="Times New Roman" w:eastAsia="宋体" w:cs="Times New Roman"/>
                <w:color w:val="auto"/>
                <w:kern w:val="0"/>
                <w:sz w:val="24"/>
                <w:lang w:val="en-US" w:eastAsia="zh-CN"/>
              </w:rPr>
            </w:pPr>
            <w:r>
              <w:rPr>
                <w:rFonts w:hint="eastAsia" w:cs="Times New Roman"/>
                <w:color w:val="auto"/>
                <w:w w:val="99"/>
                <w:kern w:val="2"/>
                <w:sz w:val="24"/>
                <w:szCs w:val="24"/>
                <w:lang w:val="en-US" w:eastAsia="zh-CN" w:bidi="ar-SA"/>
              </w:rPr>
              <w:t>综合保障能力</w:t>
            </w:r>
          </w:p>
        </w:tc>
        <w:tc>
          <w:tcPr>
            <w:tcW w:w="360" w:type="pct"/>
            <w:vAlign w:val="center"/>
          </w:tcPr>
          <w:p>
            <w:pPr>
              <w:pStyle w:val="15"/>
              <w:spacing w:line="360" w:lineRule="exact"/>
              <w:jc w:val="left"/>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人员配置</w:t>
            </w:r>
          </w:p>
          <w:p>
            <w:pPr>
              <w:pStyle w:val="15"/>
              <w:spacing w:line="360" w:lineRule="exact"/>
              <w:jc w:val="left"/>
              <w:rPr>
                <w:rFonts w:hint="default" w:ascii="Times New Roman" w:hAnsi="Times New Roman" w:cs="Times New Roman"/>
                <w:color w:val="auto"/>
                <w:kern w:val="0"/>
                <w:sz w:val="24"/>
              </w:rPr>
            </w:pPr>
            <w:r>
              <w:rPr>
                <w:rFonts w:hint="default" w:ascii="Times New Roman" w:hAnsi="Times New Roman" w:eastAsia="宋体" w:cs="Times New Roman"/>
                <w:color w:val="auto"/>
                <w:w w:val="99"/>
                <w:kern w:val="2"/>
                <w:sz w:val="24"/>
                <w:szCs w:val="24"/>
                <w:lang w:val="en-US" w:eastAsia="zh-CN" w:bidi="ar-SA"/>
              </w:rPr>
              <w:t>（</w:t>
            </w:r>
            <w:r>
              <w:rPr>
                <w:rFonts w:hint="eastAsia" w:cs="Times New Roman"/>
                <w:color w:val="auto"/>
                <w:w w:val="99"/>
                <w:kern w:val="2"/>
                <w:sz w:val="24"/>
                <w:szCs w:val="24"/>
                <w:lang w:val="en-US" w:eastAsia="zh-CN" w:bidi="ar-SA"/>
              </w:rPr>
              <w:t>15</w:t>
            </w:r>
            <w:r>
              <w:rPr>
                <w:rFonts w:hint="default" w:ascii="Times New Roman" w:hAnsi="Times New Roman" w:eastAsia="宋体" w:cs="Times New Roman"/>
                <w:color w:val="auto"/>
                <w:w w:val="99"/>
                <w:kern w:val="2"/>
                <w:sz w:val="24"/>
                <w:szCs w:val="24"/>
                <w:lang w:val="en-US" w:eastAsia="zh-CN" w:bidi="ar-SA"/>
              </w:rPr>
              <w:t>分）</w:t>
            </w:r>
          </w:p>
        </w:tc>
        <w:tc>
          <w:tcPr>
            <w:tcW w:w="2367" w:type="pct"/>
            <w:vAlign w:val="center"/>
          </w:tcPr>
          <w:p>
            <w:pPr>
              <w:pStyle w:val="15"/>
              <w:spacing w:line="360" w:lineRule="exact"/>
              <w:jc w:val="left"/>
              <w:rPr>
                <w:rFonts w:hint="default" w:ascii="Times New Roman" w:hAnsi="Times New Roman" w:cs="Times New Roman"/>
                <w:color w:val="auto"/>
                <w:kern w:val="0"/>
                <w:sz w:val="24"/>
              </w:rPr>
            </w:pPr>
            <w:r>
              <w:rPr>
                <w:rFonts w:hint="eastAsia" w:cs="Times New Roman"/>
                <w:color w:val="auto"/>
                <w:w w:val="99"/>
                <w:kern w:val="2"/>
                <w:sz w:val="24"/>
                <w:szCs w:val="24"/>
                <w:lang w:val="en-US" w:eastAsia="zh-CN" w:bidi="ar-SA"/>
              </w:rPr>
              <w:t>拟投入本项目的人员中具有1名采购行业中级及以上职称的得6分，最多得12分；具有1名法务人员（法律顾问）得3分。</w:t>
            </w:r>
            <w:r>
              <w:rPr>
                <w:rFonts w:hint="default" w:ascii="Times New Roman" w:hAnsi="Times New Roman" w:eastAsia="宋体" w:cs="Times New Roman"/>
                <w:color w:val="auto"/>
                <w:w w:val="99"/>
                <w:kern w:val="2"/>
                <w:sz w:val="24"/>
                <w:szCs w:val="24"/>
                <w:lang w:val="en-US" w:eastAsia="zh-CN" w:bidi="ar-SA"/>
              </w:rPr>
              <w:t>本项最高得</w:t>
            </w:r>
            <w:r>
              <w:rPr>
                <w:rFonts w:hint="eastAsia" w:cs="Times New Roman"/>
                <w:color w:val="auto"/>
                <w:w w:val="99"/>
                <w:kern w:val="2"/>
                <w:sz w:val="24"/>
                <w:szCs w:val="24"/>
                <w:lang w:val="en-US" w:eastAsia="zh-CN" w:bidi="ar-SA"/>
              </w:rPr>
              <w:t>15</w:t>
            </w:r>
            <w:r>
              <w:rPr>
                <w:rFonts w:hint="default" w:ascii="Times New Roman" w:hAnsi="Times New Roman" w:eastAsia="宋体" w:cs="Times New Roman"/>
                <w:color w:val="auto"/>
                <w:w w:val="99"/>
                <w:kern w:val="2"/>
                <w:sz w:val="24"/>
                <w:szCs w:val="24"/>
                <w:lang w:val="en-US" w:eastAsia="zh-CN" w:bidi="ar-SA"/>
              </w:rPr>
              <w:t>分。</w:t>
            </w:r>
          </w:p>
        </w:tc>
        <w:tc>
          <w:tcPr>
            <w:tcW w:w="1425" w:type="pct"/>
            <w:vAlign w:val="center"/>
          </w:tcPr>
          <w:p>
            <w:pPr>
              <w:pStyle w:val="15"/>
              <w:spacing w:line="360" w:lineRule="exact"/>
              <w:jc w:val="center"/>
              <w:rPr>
                <w:rFonts w:hint="default" w:ascii="Times New Roman" w:hAnsi="Times New Roman" w:cs="Times New Roman"/>
                <w:color w:val="auto"/>
                <w:kern w:val="0"/>
                <w:sz w:val="24"/>
                <w:lang w:val="en-US"/>
              </w:rPr>
            </w:pPr>
            <w:r>
              <w:rPr>
                <w:rFonts w:hint="eastAsia" w:cs="Times New Roman"/>
                <w:color w:val="auto"/>
                <w:w w:val="99"/>
                <w:kern w:val="2"/>
                <w:sz w:val="24"/>
                <w:szCs w:val="24"/>
                <w:lang w:val="en-US" w:eastAsia="zh-CN" w:bidi="ar-SA"/>
              </w:rPr>
              <w:t>提供从业人员职称证书、资质</w:t>
            </w:r>
            <w:r>
              <w:rPr>
                <w:rFonts w:hint="default" w:cs="Times New Roman"/>
                <w:color w:val="auto"/>
                <w:w w:val="99"/>
                <w:kern w:val="2"/>
                <w:sz w:val="24"/>
                <w:szCs w:val="24"/>
                <w:lang w:val="en-US" w:eastAsia="zh-CN" w:bidi="ar-SA"/>
              </w:rPr>
              <w:t>证书复印件</w:t>
            </w:r>
            <w:r>
              <w:rPr>
                <w:rFonts w:hint="eastAsia" w:cs="Times New Roman"/>
                <w:color w:val="auto"/>
                <w:w w:val="99"/>
                <w:kern w:val="2"/>
                <w:sz w:val="24"/>
                <w:szCs w:val="24"/>
                <w:lang w:val="en-US" w:eastAsia="zh-CN" w:bidi="ar-SA"/>
              </w:rPr>
              <w:t>和近一个月社保缴纳证明。法律顾问提供本单位聘请合同及证书。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16" w:hRule="atLeast"/>
        </w:trPr>
        <w:tc>
          <w:tcPr>
            <w:tcW w:w="270" w:type="pct"/>
            <w:vMerge w:val="continue"/>
            <w:vAlign w:val="center"/>
          </w:tcPr>
          <w:p>
            <w:pPr>
              <w:pStyle w:val="15"/>
              <w:spacing w:line="360" w:lineRule="exact"/>
              <w:jc w:val="center"/>
              <w:rPr>
                <w:sz w:val="24"/>
              </w:rPr>
            </w:pPr>
          </w:p>
        </w:tc>
        <w:tc>
          <w:tcPr>
            <w:tcW w:w="577" w:type="pct"/>
            <w:vMerge w:val="continue"/>
            <w:vAlign w:val="center"/>
          </w:tcPr>
          <w:p>
            <w:pPr>
              <w:pStyle w:val="15"/>
              <w:spacing w:line="360" w:lineRule="exact"/>
              <w:jc w:val="center"/>
              <w:rPr>
                <w:sz w:val="24"/>
              </w:rPr>
            </w:pPr>
          </w:p>
        </w:tc>
        <w:tc>
          <w:tcPr>
            <w:tcW w:w="360" w:type="pct"/>
            <w:vAlign w:val="center"/>
          </w:tcPr>
          <w:p>
            <w:pPr>
              <w:pStyle w:val="15"/>
              <w:spacing w:line="360" w:lineRule="exact"/>
              <w:jc w:val="left"/>
              <w:rPr>
                <w:rFonts w:eastAsia="仿宋_GB2312"/>
                <w:b/>
                <w:bCs/>
                <w:sz w:val="24"/>
                <w:szCs w:val="24"/>
              </w:rPr>
            </w:pPr>
            <w:r>
              <w:rPr>
                <w:rFonts w:hint="default" w:cs="Times New Roman"/>
                <w:color w:val="auto"/>
                <w:w w:val="99"/>
                <w:kern w:val="2"/>
                <w:sz w:val="24"/>
                <w:szCs w:val="24"/>
                <w:lang w:val="en-US" w:eastAsia="zh-CN" w:bidi="ar-SA"/>
              </w:rPr>
              <w:t>场地（10分）</w:t>
            </w:r>
          </w:p>
        </w:tc>
        <w:tc>
          <w:tcPr>
            <w:tcW w:w="2367" w:type="pct"/>
            <w:vAlign w:val="center"/>
          </w:tcPr>
          <w:p>
            <w:pPr>
              <w:pStyle w:val="15"/>
              <w:spacing w:line="360" w:lineRule="exact"/>
              <w:jc w:val="left"/>
              <w:rPr>
                <w:rFonts w:eastAsia="仿宋_GB2312"/>
                <w:b/>
                <w:bCs/>
                <w:sz w:val="24"/>
                <w:szCs w:val="24"/>
              </w:rPr>
            </w:pPr>
            <w:r>
              <w:rPr>
                <w:rFonts w:hint="default" w:ascii="Times New Roman" w:hAnsi="Times New Roman" w:eastAsia="宋体" w:cs="Times New Roman"/>
                <w:color w:val="auto"/>
                <w:w w:val="99"/>
                <w:kern w:val="2"/>
                <w:sz w:val="24"/>
                <w:szCs w:val="24"/>
                <w:lang w:val="en-US" w:eastAsia="zh-CN" w:bidi="ar-SA"/>
              </w:rPr>
              <w:t>代理机构在成都市主城区具有独立的办公场地及开标评标</w:t>
            </w:r>
            <w:r>
              <w:rPr>
                <w:rFonts w:hint="eastAsia" w:cs="Times New Roman"/>
                <w:color w:val="auto"/>
                <w:w w:val="99"/>
                <w:kern w:val="2"/>
                <w:sz w:val="24"/>
                <w:szCs w:val="24"/>
                <w:lang w:val="en-US" w:eastAsia="zh-CN" w:bidi="ar-SA"/>
              </w:rPr>
              <w:t>场地</w:t>
            </w:r>
            <w:r>
              <w:rPr>
                <w:rFonts w:hint="default" w:ascii="Times New Roman" w:hAnsi="Times New Roman" w:eastAsia="宋体" w:cs="Times New Roman"/>
                <w:color w:val="auto"/>
                <w:w w:val="99"/>
                <w:kern w:val="2"/>
                <w:sz w:val="24"/>
                <w:szCs w:val="24"/>
                <w:lang w:val="en-US" w:eastAsia="zh-CN" w:bidi="ar-SA"/>
              </w:rPr>
              <w:t>得</w:t>
            </w:r>
            <w:r>
              <w:rPr>
                <w:rFonts w:hint="eastAsia" w:cs="Times New Roman"/>
                <w:color w:val="auto"/>
                <w:w w:val="99"/>
                <w:kern w:val="2"/>
                <w:sz w:val="24"/>
                <w:szCs w:val="24"/>
                <w:lang w:val="en-US" w:eastAsia="zh-CN" w:bidi="ar-SA"/>
              </w:rPr>
              <w:t>8</w:t>
            </w:r>
            <w:r>
              <w:rPr>
                <w:rFonts w:hint="default" w:ascii="Times New Roman" w:hAnsi="Times New Roman" w:eastAsia="宋体" w:cs="Times New Roman"/>
                <w:color w:val="auto"/>
                <w:w w:val="99"/>
                <w:kern w:val="2"/>
                <w:sz w:val="24"/>
                <w:szCs w:val="24"/>
                <w:lang w:val="en-US" w:eastAsia="zh-CN" w:bidi="ar-SA"/>
              </w:rPr>
              <w:t>分。具有独立的监督室的得</w:t>
            </w:r>
            <w:r>
              <w:rPr>
                <w:rFonts w:hint="eastAsia" w:ascii="Times New Roman" w:hAnsi="Times New Roman" w:eastAsia="宋体" w:cs="Times New Roman"/>
                <w:color w:val="auto"/>
                <w:w w:val="99"/>
                <w:kern w:val="2"/>
                <w:sz w:val="24"/>
                <w:szCs w:val="24"/>
                <w:lang w:val="en-US" w:eastAsia="zh-CN" w:bidi="ar-SA"/>
              </w:rPr>
              <w:t>2</w:t>
            </w:r>
            <w:r>
              <w:rPr>
                <w:rFonts w:hint="default" w:ascii="Times New Roman" w:hAnsi="Times New Roman" w:eastAsia="宋体" w:cs="Times New Roman"/>
                <w:color w:val="auto"/>
                <w:w w:val="99"/>
                <w:kern w:val="2"/>
                <w:sz w:val="24"/>
                <w:szCs w:val="24"/>
                <w:lang w:val="en-US" w:eastAsia="zh-CN" w:bidi="ar-SA"/>
              </w:rPr>
              <w:t>分。</w:t>
            </w:r>
          </w:p>
        </w:tc>
        <w:tc>
          <w:tcPr>
            <w:tcW w:w="1425" w:type="pct"/>
            <w:vAlign w:val="center"/>
          </w:tcPr>
          <w:p>
            <w:pPr>
              <w:pStyle w:val="15"/>
              <w:spacing w:line="360" w:lineRule="exact"/>
              <w:jc w:val="center"/>
              <w:rPr>
                <w:rFonts w:eastAsia="仿宋_GB2312"/>
                <w:b/>
                <w:bCs/>
                <w:sz w:val="24"/>
                <w:szCs w:val="24"/>
              </w:rPr>
            </w:pPr>
            <w:r>
              <w:rPr>
                <w:rFonts w:hint="default" w:cs="Times New Roman"/>
                <w:color w:val="auto"/>
                <w:w w:val="99"/>
                <w:kern w:val="2"/>
                <w:sz w:val="24"/>
                <w:szCs w:val="24"/>
                <w:lang w:val="en-US" w:eastAsia="zh-CN" w:bidi="ar-SA"/>
              </w:rPr>
              <w:t>提供租赁证明及相关现场图片。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12" w:hRule="atLeast"/>
        </w:trPr>
        <w:tc>
          <w:tcPr>
            <w:tcW w:w="270" w:type="pct"/>
            <w:vAlign w:val="center"/>
          </w:tcPr>
          <w:p>
            <w:pPr>
              <w:widowControl/>
              <w:spacing w:line="400" w:lineRule="exact"/>
              <w:jc w:val="center"/>
              <w:rPr>
                <w:rFonts w:hint="eastAsia" w:ascii="Times New Roman" w:hAnsi="Times New Roman" w:eastAsia="宋体" w:cs="Times New Roman"/>
                <w:color w:val="auto"/>
                <w:kern w:val="0"/>
                <w:sz w:val="24"/>
                <w:lang w:eastAsia="zh-CN"/>
              </w:rPr>
            </w:pPr>
            <w:r>
              <w:rPr>
                <w:rFonts w:hint="eastAsia" w:ascii="Times New Roman" w:hAnsi="Times New Roman" w:cs="Times New Roman"/>
                <w:color w:val="auto"/>
                <w:kern w:val="0"/>
                <w:sz w:val="24"/>
                <w:lang w:val="en-US" w:eastAsia="zh-CN"/>
              </w:rPr>
              <w:t>4</w:t>
            </w:r>
          </w:p>
        </w:tc>
        <w:tc>
          <w:tcPr>
            <w:tcW w:w="577" w:type="pct"/>
            <w:vAlign w:val="center"/>
          </w:tcPr>
          <w:p>
            <w:pPr>
              <w:widowControl/>
              <w:spacing w:line="400" w:lineRule="exact"/>
              <w:jc w:val="center"/>
              <w:rPr>
                <w:rFonts w:hint="default" w:ascii="Times New Roman" w:hAnsi="Times New Roman" w:cs="Times New Roman"/>
                <w:color w:val="auto"/>
                <w:kern w:val="0"/>
                <w:sz w:val="24"/>
              </w:rPr>
            </w:pPr>
            <w:r>
              <w:rPr>
                <w:rFonts w:hint="default" w:ascii="Times New Roman" w:hAnsi="Times New Roman" w:eastAsia="宋体" w:cs="Times New Roman"/>
                <w:color w:val="auto"/>
                <w:w w:val="99"/>
                <w:kern w:val="2"/>
                <w:sz w:val="24"/>
                <w:szCs w:val="24"/>
                <w:lang w:val="en-US" w:eastAsia="zh-CN" w:bidi="ar-SA"/>
              </w:rPr>
              <w:t>服务方案</w:t>
            </w:r>
          </w:p>
        </w:tc>
        <w:tc>
          <w:tcPr>
            <w:tcW w:w="360" w:type="pct"/>
            <w:vAlign w:val="center"/>
          </w:tcPr>
          <w:p>
            <w:pPr>
              <w:widowControl/>
              <w:spacing w:line="400" w:lineRule="exact"/>
              <w:jc w:val="center"/>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w w:val="99"/>
                <w:kern w:val="2"/>
                <w:sz w:val="24"/>
                <w:szCs w:val="24"/>
                <w:lang w:val="en-US" w:eastAsia="zh-CN" w:bidi="ar-SA"/>
              </w:rPr>
              <w:t>40分</w:t>
            </w:r>
          </w:p>
        </w:tc>
        <w:tc>
          <w:tcPr>
            <w:tcW w:w="2367" w:type="pct"/>
            <w:vAlign w:val="center"/>
          </w:tcPr>
          <w:p>
            <w:pPr>
              <w:spacing w:line="400" w:lineRule="exact"/>
              <w:jc w:val="left"/>
              <w:rPr>
                <w:rFonts w:hint="default" w:ascii="Times New Roman" w:hAnsi="Times New Roman" w:cs="Times New Roman"/>
                <w:color w:val="auto"/>
                <w:kern w:val="0"/>
                <w:sz w:val="24"/>
              </w:rPr>
            </w:pPr>
            <w:r>
              <w:rPr>
                <w:rFonts w:hint="default" w:ascii="Times New Roman" w:hAnsi="Times New Roman" w:cs="Times New Roman"/>
                <w:color w:val="auto"/>
                <w:w w:val="99"/>
                <w:sz w:val="24"/>
              </w:rPr>
              <w:t>招标代理服务方案</w:t>
            </w:r>
            <w:r>
              <w:rPr>
                <w:rFonts w:hint="eastAsia" w:ascii="Times New Roman" w:hAnsi="Times New Roman" w:cs="Times New Roman"/>
                <w:color w:val="auto"/>
                <w:w w:val="99"/>
                <w:sz w:val="24"/>
                <w:lang w:val="en-US" w:eastAsia="zh-CN"/>
              </w:rPr>
              <w:t>应</w:t>
            </w:r>
            <w:r>
              <w:rPr>
                <w:rFonts w:hint="default" w:ascii="Times New Roman" w:hAnsi="Times New Roman" w:cs="Times New Roman"/>
                <w:color w:val="auto"/>
                <w:w w:val="99"/>
                <w:sz w:val="24"/>
              </w:rPr>
              <w:t>包含人员配置、采购文件审核、开评标流程、响应时间及进度保障、质疑投诉处理、内部控制、保密</w:t>
            </w:r>
            <w:r>
              <w:rPr>
                <w:rFonts w:hint="eastAsia" w:ascii="Times New Roman" w:hAnsi="Times New Roman" w:cs="Times New Roman"/>
                <w:color w:val="auto"/>
                <w:w w:val="99"/>
                <w:sz w:val="24"/>
                <w:lang w:val="en-US" w:eastAsia="zh-CN"/>
              </w:rPr>
              <w:t>管理</w:t>
            </w:r>
            <w:r>
              <w:rPr>
                <w:rFonts w:hint="default" w:ascii="Times New Roman" w:hAnsi="Times New Roman" w:cs="Times New Roman"/>
                <w:color w:val="auto"/>
                <w:w w:val="99"/>
                <w:sz w:val="24"/>
              </w:rPr>
              <w:t>、档案管理、培训服务等内容</w:t>
            </w:r>
            <w:r>
              <w:rPr>
                <w:rFonts w:hint="eastAsia" w:ascii="Times New Roman" w:hAnsi="Times New Roman" w:cs="Times New Roman"/>
                <w:color w:val="auto"/>
                <w:w w:val="99"/>
                <w:sz w:val="24"/>
                <w:lang w:eastAsia="zh-CN"/>
              </w:rPr>
              <w:t>。</w:t>
            </w:r>
            <w:r>
              <w:rPr>
                <w:rFonts w:hint="default" w:ascii="Times New Roman" w:hAnsi="Times New Roman" w:cs="Times New Roman"/>
                <w:color w:val="auto"/>
                <w:w w:val="99"/>
                <w:sz w:val="24"/>
              </w:rPr>
              <w:t>方案内容齐全，操作性</w:t>
            </w:r>
            <w:r>
              <w:rPr>
                <w:rFonts w:hint="eastAsia" w:ascii="Times New Roman" w:hAnsi="Times New Roman" w:cs="Times New Roman"/>
                <w:color w:val="auto"/>
                <w:w w:val="99"/>
                <w:sz w:val="24"/>
                <w:lang w:eastAsia="zh-CN"/>
              </w:rPr>
              <w:t>、</w:t>
            </w:r>
            <w:r>
              <w:rPr>
                <w:rFonts w:hint="default" w:ascii="Times New Roman" w:hAnsi="Times New Roman" w:cs="Times New Roman"/>
                <w:color w:val="auto"/>
                <w:w w:val="99"/>
                <w:sz w:val="24"/>
              </w:rPr>
              <w:t>针对性强</w:t>
            </w:r>
            <w:r>
              <w:rPr>
                <w:rFonts w:hint="eastAsia" w:ascii="Times New Roman" w:hAnsi="Times New Roman" w:cs="Times New Roman"/>
                <w:color w:val="auto"/>
                <w:w w:val="99"/>
                <w:sz w:val="24"/>
                <w:lang w:eastAsia="zh-CN"/>
              </w:rPr>
              <w:t>，</w:t>
            </w:r>
            <w:r>
              <w:rPr>
                <w:rFonts w:hint="eastAsia" w:ascii="Times New Roman" w:hAnsi="Times New Roman" w:cs="Times New Roman"/>
                <w:color w:val="auto"/>
                <w:w w:val="99"/>
                <w:sz w:val="24"/>
                <w:lang w:val="en-US" w:eastAsia="zh-CN"/>
              </w:rPr>
              <w:t>完全符合比选要求</w:t>
            </w:r>
            <w:r>
              <w:rPr>
                <w:rFonts w:hint="default" w:ascii="Times New Roman" w:hAnsi="Times New Roman" w:cs="Times New Roman"/>
                <w:color w:val="auto"/>
                <w:w w:val="99"/>
                <w:sz w:val="24"/>
              </w:rPr>
              <w:t>的得</w:t>
            </w:r>
            <w:r>
              <w:rPr>
                <w:rFonts w:hint="eastAsia" w:ascii="Times New Roman" w:hAnsi="Times New Roman" w:cs="Times New Roman"/>
                <w:color w:val="auto"/>
                <w:w w:val="99"/>
                <w:sz w:val="24"/>
                <w:lang w:val="en-US" w:eastAsia="zh-CN"/>
              </w:rPr>
              <w:t>40</w:t>
            </w:r>
            <w:r>
              <w:rPr>
                <w:rFonts w:hint="default" w:ascii="Times New Roman" w:hAnsi="Times New Roman" w:cs="Times New Roman"/>
                <w:color w:val="auto"/>
                <w:w w:val="99"/>
                <w:sz w:val="24"/>
              </w:rPr>
              <w:t>分；方案内容</w:t>
            </w:r>
            <w:r>
              <w:rPr>
                <w:rFonts w:hint="eastAsia" w:ascii="Times New Roman" w:hAnsi="Times New Roman" w:cs="Times New Roman"/>
                <w:color w:val="auto"/>
                <w:w w:val="99"/>
                <w:sz w:val="24"/>
                <w:lang w:val="en-US" w:eastAsia="zh-CN"/>
              </w:rPr>
              <w:t>较全</w:t>
            </w:r>
            <w:r>
              <w:rPr>
                <w:rFonts w:hint="default" w:ascii="Times New Roman" w:hAnsi="Times New Roman" w:cs="Times New Roman"/>
                <w:color w:val="auto"/>
                <w:w w:val="99"/>
                <w:sz w:val="24"/>
              </w:rPr>
              <w:t>，操作性</w:t>
            </w:r>
            <w:r>
              <w:rPr>
                <w:rFonts w:hint="eastAsia" w:ascii="Times New Roman" w:hAnsi="Times New Roman" w:cs="Times New Roman"/>
                <w:color w:val="auto"/>
                <w:w w:val="99"/>
                <w:sz w:val="24"/>
                <w:lang w:eastAsia="zh-CN"/>
              </w:rPr>
              <w:t>、</w:t>
            </w:r>
            <w:r>
              <w:rPr>
                <w:rFonts w:hint="default" w:ascii="Times New Roman" w:hAnsi="Times New Roman" w:cs="Times New Roman"/>
                <w:color w:val="auto"/>
                <w:w w:val="99"/>
                <w:sz w:val="24"/>
              </w:rPr>
              <w:t>针对性较强的得</w:t>
            </w:r>
            <w:r>
              <w:rPr>
                <w:rFonts w:hint="eastAsia" w:ascii="Times New Roman" w:hAnsi="Times New Roman" w:cs="Times New Roman"/>
                <w:color w:val="auto"/>
                <w:w w:val="99"/>
                <w:sz w:val="24"/>
                <w:lang w:val="en-US" w:eastAsia="zh-CN"/>
              </w:rPr>
              <w:t>30</w:t>
            </w:r>
            <w:r>
              <w:rPr>
                <w:rFonts w:hint="default" w:ascii="Times New Roman" w:hAnsi="Times New Roman" w:cs="Times New Roman"/>
                <w:color w:val="auto"/>
                <w:w w:val="99"/>
                <w:sz w:val="24"/>
              </w:rPr>
              <w:t>分；方案内容</w:t>
            </w:r>
            <w:r>
              <w:rPr>
                <w:rFonts w:hint="eastAsia" w:ascii="Times New Roman" w:hAnsi="Times New Roman" w:cs="Times New Roman"/>
                <w:color w:val="auto"/>
                <w:w w:val="99"/>
                <w:sz w:val="24"/>
                <w:lang w:val="en-US" w:eastAsia="zh-CN"/>
              </w:rPr>
              <w:t>存在缺项</w:t>
            </w:r>
            <w:r>
              <w:rPr>
                <w:rFonts w:hint="default" w:ascii="Times New Roman" w:hAnsi="Times New Roman" w:cs="Times New Roman"/>
                <w:color w:val="auto"/>
                <w:w w:val="99"/>
                <w:sz w:val="24"/>
              </w:rPr>
              <w:t>，操作性</w:t>
            </w:r>
            <w:r>
              <w:rPr>
                <w:rFonts w:hint="eastAsia" w:ascii="Times New Roman" w:hAnsi="Times New Roman" w:cs="Times New Roman"/>
                <w:color w:val="auto"/>
                <w:w w:val="99"/>
                <w:sz w:val="24"/>
                <w:lang w:eastAsia="zh-CN"/>
              </w:rPr>
              <w:t>、</w:t>
            </w:r>
            <w:r>
              <w:rPr>
                <w:rFonts w:hint="default" w:ascii="Times New Roman" w:hAnsi="Times New Roman" w:cs="Times New Roman"/>
                <w:color w:val="auto"/>
                <w:w w:val="99"/>
                <w:sz w:val="24"/>
              </w:rPr>
              <w:t>针对性一般的得</w:t>
            </w:r>
            <w:r>
              <w:rPr>
                <w:rFonts w:hint="eastAsia" w:ascii="Times New Roman" w:hAnsi="Times New Roman" w:cs="Times New Roman"/>
                <w:color w:val="auto"/>
                <w:w w:val="99"/>
                <w:sz w:val="24"/>
                <w:lang w:val="en-US" w:eastAsia="zh-CN"/>
              </w:rPr>
              <w:t>20</w:t>
            </w:r>
            <w:r>
              <w:rPr>
                <w:rFonts w:hint="default" w:ascii="Times New Roman" w:hAnsi="Times New Roman" w:cs="Times New Roman"/>
                <w:color w:val="auto"/>
                <w:w w:val="99"/>
                <w:sz w:val="24"/>
              </w:rPr>
              <w:t>分；方案内容</w:t>
            </w:r>
            <w:r>
              <w:rPr>
                <w:rFonts w:hint="eastAsia" w:ascii="Times New Roman" w:hAnsi="Times New Roman" w:cs="Times New Roman"/>
                <w:color w:val="auto"/>
                <w:w w:val="99"/>
                <w:sz w:val="24"/>
                <w:lang w:val="en-US" w:eastAsia="zh-CN"/>
              </w:rPr>
              <w:t>存在较多</w:t>
            </w:r>
            <w:r>
              <w:rPr>
                <w:rFonts w:hint="default" w:ascii="Times New Roman" w:hAnsi="Times New Roman" w:cs="Times New Roman"/>
                <w:color w:val="auto"/>
                <w:w w:val="99"/>
                <w:sz w:val="24"/>
              </w:rPr>
              <w:t>缺</w:t>
            </w:r>
            <w:r>
              <w:rPr>
                <w:rFonts w:hint="eastAsia" w:ascii="Times New Roman" w:hAnsi="Times New Roman" w:cs="Times New Roman"/>
                <w:color w:val="auto"/>
                <w:w w:val="99"/>
                <w:sz w:val="24"/>
                <w:lang w:val="en-US" w:eastAsia="zh-CN"/>
              </w:rPr>
              <w:t>项</w:t>
            </w:r>
            <w:r>
              <w:rPr>
                <w:rFonts w:hint="default" w:ascii="Times New Roman" w:hAnsi="Times New Roman" w:cs="Times New Roman"/>
                <w:color w:val="auto"/>
                <w:w w:val="99"/>
                <w:sz w:val="24"/>
              </w:rPr>
              <w:t>，操作性</w:t>
            </w:r>
            <w:r>
              <w:rPr>
                <w:rFonts w:hint="eastAsia" w:ascii="Times New Roman" w:hAnsi="Times New Roman" w:cs="Times New Roman"/>
                <w:color w:val="auto"/>
                <w:w w:val="99"/>
                <w:sz w:val="24"/>
                <w:lang w:eastAsia="zh-CN"/>
              </w:rPr>
              <w:t>、</w:t>
            </w:r>
            <w:r>
              <w:rPr>
                <w:rFonts w:hint="default" w:ascii="Times New Roman" w:hAnsi="Times New Roman" w:cs="Times New Roman"/>
                <w:color w:val="auto"/>
                <w:w w:val="99"/>
                <w:sz w:val="24"/>
              </w:rPr>
              <w:t>针对性差的得</w:t>
            </w:r>
            <w:r>
              <w:rPr>
                <w:rFonts w:hint="eastAsia" w:ascii="Times New Roman" w:hAnsi="Times New Roman" w:cs="Times New Roman"/>
                <w:color w:val="auto"/>
                <w:w w:val="99"/>
                <w:sz w:val="24"/>
                <w:lang w:val="en-US" w:eastAsia="zh-CN"/>
              </w:rPr>
              <w:t>10</w:t>
            </w:r>
            <w:r>
              <w:rPr>
                <w:rFonts w:hint="default" w:ascii="Times New Roman" w:hAnsi="Times New Roman" w:cs="Times New Roman"/>
                <w:color w:val="auto"/>
                <w:w w:val="99"/>
                <w:sz w:val="24"/>
              </w:rPr>
              <w:t>分；未提供的不得分。</w:t>
            </w:r>
          </w:p>
        </w:tc>
        <w:tc>
          <w:tcPr>
            <w:tcW w:w="1425" w:type="pct"/>
            <w:vAlign w:val="center"/>
          </w:tcPr>
          <w:p>
            <w:pPr>
              <w:widowControl/>
              <w:spacing w:line="400" w:lineRule="exact"/>
              <w:rPr>
                <w:rFonts w:hint="default" w:ascii="Times New Roman" w:hAnsi="Times New Roman" w:cs="Times New Roman"/>
                <w:color w:val="auto"/>
                <w:kern w:val="0"/>
                <w:sz w:val="24"/>
              </w:rPr>
            </w:pPr>
            <w:r>
              <w:rPr>
                <w:rFonts w:hint="default" w:ascii="Times New Roman" w:hAnsi="Times New Roman" w:eastAsia="宋体" w:cs="Times New Roman"/>
                <w:color w:val="auto"/>
                <w:w w:val="99"/>
                <w:kern w:val="2"/>
                <w:sz w:val="24"/>
                <w:szCs w:val="24"/>
                <w:lang w:val="en-US" w:eastAsia="zh-CN" w:bidi="ar-SA"/>
              </w:rPr>
              <w:t>提供详细服务方案</w:t>
            </w:r>
          </w:p>
        </w:tc>
      </w:tr>
      <w:bookmarkEnd w:id="11"/>
      <w:bookmarkEnd w:id="12"/>
      <w:bookmarkEnd w:id="13"/>
      <w:bookmarkEnd w:id="14"/>
    </w:tbl>
    <w:p>
      <w:pPr>
        <w:rPr>
          <w:rFonts w:hint="default" w:ascii="Times New Roman" w:hAnsi="Times New Roman" w:cs="Times New Roman"/>
          <w:color w:val="auto"/>
        </w:rPr>
      </w:pPr>
    </w:p>
    <w:p>
      <w:pPr>
        <w:rPr>
          <w:rFonts w:hint="default" w:ascii="Times New Roman" w:hAnsi="Times New Roman" w:cs="Times New Roman"/>
          <w:b/>
          <w:color w:val="auto"/>
          <w:sz w:val="24"/>
        </w:rPr>
      </w:pPr>
      <w:r>
        <w:rPr>
          <w:rFonts w:hint="default" w:ascii="Times New Roman" w:hAnsi="Times New Roman" w:cs="Times New Roman"/>
          <w:color w:val="auto"/>
        </w:rPr>
        <w:br w:type="page"/>
      </w:r>
      <w:r>
        <w:rPr>
          <w:rFonts w:hint="default" w:ascii="Times New Roman" w:hAnsi="Times New Roman" w:cs="Times New Roman"/>
          <w:b/>
          <w:color w:val="auto"/>
          <w:sz w:val="24"/>
        </w:rPr>
        <w:t>比选申请文件格式</w:t>
      </w:r>
    </w:p>
    <w:p>
      <w:pPr>
        <w:jc w:val="center"/>
        <w:rPr>
          <w:rFonts w:hint="default" w:ascii="Times New Roman" w:hAnsi="Times New Roman" w:cs="Times New Roman"/>
          <w:b/>
          <w:color w:val="auto"/>
          <w:sz w:val="24"/>
        </w:rPr>
      </w:pPr>
    </w:p>
    <w:p>
      <w:pPr>
        <w:jc w:val="center"/>
        <w:rPr>
          <w:rFonts w:hint="default" w:ascii="Times New Roman" w:hAnsi="Times New Roman" w:cs="Times New Roman"/>
          <w:b/>
          <w:color w:val="auto"/>
          <w:sz w:val="44"/>
          <w:szCs w:val="44"/>
        </w:rPr>
      </w:pPr>
    </w:p>
    <w:p>
      <w:pPr>
        <w:jc w:val="center"/>
        <w:rPr>
          <w:rFonts w:hint="default" w:ascii="Times New Roman" w:hAnsi="Times New Roman" w:cs="Times New Roman"/>
          <w:b/>
          <w:color w:val="auto"/>
          <w:sz w:val="48"/>
          <w:szCs w:val="48"/>
        </w:rPr>
      </w:pPr>
      <w:r>
        <w:rPr>
          <w:rFonts w:hint="default" w:ascii="Times New Roman" w:hAnsi="Times New Roman" w:eastAsia="仿宋_GB2312" w:cs="Times New Roman"/>
          <w:color w:val="auto"/>
          <w:sz w:val="32"/>
          <w:szCs w:val="32"/>
          <w:u w:val="single"/>
        </w:rPr>
        <w:t>四川省文化产业发展促进中心（四川省对外文化交流中心）</w:t>
      </w:r>
      <w:r>
        <w:rPr>
          <w:rFonts w:hint="eastAsia" w:ascii="Times New Roman" w:hAnsi="Times New Roman" w:eastAsia="仿宋_GB2312" w:cs="Times New Roman"/>
          <w:color w:val="auto"/>
          <w:sz w:val="32"/>
          <w:szCs w:val="32"/>
          <w:u w:val="single"/>
          <w:lang w:eastAsia="zh-CN"/>
        </w:rPr>
        <w:t>2024年度采购招标</w:t>
      </w:r>
      <w:r>
        <w:rPr>
          <w:rFonts w:hint="default" w:ascii="Times New Roman" w:hAnsi="Times New Roman" w:eastAsia="仿宋_GB2312" w:cs="Times New Roman"/>
          <w:color w:val="auto"/>
          <w:sz w:val="32"/>
          <w:szCs w:val="32"/>
          <w:u w:val="single"/>
        </w:rPr>
        <w:t>代理机构服务项目</w:t>
      </w:r>
    </w:p>
    <w:p>
      <w:pPr>
        <w:jc w:val="center"/>
        <w:rPr>
          <w:rFonts w:hint="default" w:ascii="Times New Roman" w:hAnsi="Times New Roman" w:cs="Times New Roman"/>
          <w:b/>
          <w:color w:val="auto"/>
          <w:sz w:val="48"/>
          <w:szCs w:val="48"/>
        </w:rPr>
      </w:pPr>
      <w:r>
        <w:rPr>
          <w:rFonts w:hint="default" w:ascii="Times New Roman" w:hAnsi="Times New Roman" w:cs="Times New Roman"/>
          <w:b/>
          <w:color w:val="auto"/>
          <w:sz w:val="48"/>
          <w:szCs w:val="48"/>
        </w:rPr>
        <w:t>比</w:t>
      </w:r>
    </w:p>
    <w:p>
      <w:pPr>
        <w:jc w:val="center"/>
        <w:rPr>
          <w:rFonts w:hint="default" w:ascii="Times New Roman" w:hAnsi="Times New Roman" w:cs="Times New Roman"/>
          <w:b/>
          <w:color w:val="auto"/>
          <w:sz w:val="48"/>
          <w:szCs w:val="48"/>
        </w:rPr>
      </w:pPr>
      <w:r>
        <w:rPr>
          <w:rFonts w:hint="default" w:ascii="Times New Roman" w:hAnsi="Times New Roman" w:cs="Times New Roman"/>
          <w:b/>
          <w:color w:val="auto"/>
          <w:sz w:val="48"/>
          <w:szCs w:val="48"/>
        </w:rPr>
        <w:t>选</w:t>
      </w:r>
    </w:p>
    <w:p>
      <w:pPr>
        <w:jc w:val="center"/>
        <w:rPr>
          <w:rFonts w:hint="default" w:ascii="Times New Roman" w:hAnsi="Times New Roman" w:cs="Times New Roman"/>
          <w:b/>
          <w:color w:val="auto"/>
          <w:sz w:val="48"/>
          <w:szCs w:val="48"/>
        </w:rPr>
      </w:pPr>
      <w:r>
        <w:rPr>
          <w:rFonts w:hint="default" w:ascii="Times New Roman" w:hAnsi="Times New Roman" w:cs="Times New Roman"/>
          <w:b/>
          <w:color w:val="auto"/>
          <w:sz w:val="48"/>
          <w:szCs w:val="48"/>
        </w:rPr>
        <w:t>申</w:t>
      </w:r>
    </w:p>
    <w:p>
      <w:pPr>
        <w:jc w:val="center"/>
        <w:rPr>
          <w:rFonts w:hint="default" w:ascii="Times New Roman" w:hAnsi="Times New Roman" w:cs="Times New Roman"/>
          <w:b/>
          <w:color w:val="auto"/>
          <w:sz w:val="48"/>
          <w:szCs w:val="48"/>
        </w:rPr>
      </w:pPr>
      <w:r>
        <w:rPr>
          <w:rFonts w:hint="default" w:ascii="Times New Roman" w:hAnsi="Times New Roman" w:cs="Times New Roman"/>
          <w:b/>
          <w:color w:val="auto"/>
          <w:sz w:val="48"/>
          <w:szCs w:val="48"/>
        </w:rPr>
        <w:t>请</w:t>
      </w:r>
    </w:p>
    <w:p>
      <w:pPr>
        <w:jc w:val="center"/>
        <w:rPr>
          <w:rFonts w:hint="default" w:ascii="Times New Roman" w:hAnsi="Times New Roman" w:cs="Times New Roman"/>
          <w:b/>
          <w:color w:val="auto"/>
          <w:sz w:val="48"/>
          <w:szCs w:val="48"/>
        </w:rPr>
      </w:pPr>
      <w:r>
        <w:rPr>
          <w:rFonts w:hint="default" w:ascii="Times New Roman" w:hAnsi="Times New Roman" w:cs="Times New Roman"/>
          <w:b/>
          <w:color w:val="auto"/>
          <w:sz w:val="48"/>
          <w:szCs w:val="48"/>
        </w:rPr>
        <w:t>书</w:t>
      </w:r>
    </w:p>
    <w:p>
      <w:pPr>
        <w:rPr>
          <w:rFonts w:hint="default" w:ascii="Times New Roman" w:hAnsi="Times New Roman" w:cs="Times New Roman"/>
          <w:color w:val="auto"/>
          <w:szCs w:val="28"/>
        </w:rPr>
      </w:pPr>
    </w:p>
    <w:p>
      <w:pPr>
        <w:rPr>
          <w:rFonts w:hint="default" w:ascii="Times New Roman" w:hAnsi="Times New Roman" w:cs="Times New Roman"/>
          <w:color w:val="auto"/>
          <w:szCs w:val="28"/>
        </w:rPr>
      </w:pPr>
    </w:p>
    <w:p>
      <w:pPr>
        <w:rPr>
          <w:rFonts w:hint="default" w:ascii="Times New Roman" w:hAnsi="Times New Roman" w:cs="Times New Roman"/>
          <w:color w:val="auto"/>
          <w:szCs w:val="28"/>
        </w:rPr>
      </w:pPr>
    </w:p>
    <w:p>
      <w:pPr>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比选申请人：（全称并加盖单位章）</w:t>
      </w:r>
    </w:p>
    <w:p>
      <w:pPr>
        <w:jc w:val="center"/>
        <w:rPr>
          <w:rFonts w:hint="default" w:ascii="Times New Roman" w:hAnsi="Times New Roman" w:cs="Times New Roman"/>
          <w:color w:val="auto"/>
          <w:sz w:val="32"/>
          <w:szCs w:val="32"/>
        </w:rPr>
      </w:pPr>
    </w:p>
    <w:p>
      <w:pPr>
        <w:rPr>
          <w:rFonts w:hint="default" w:ascii="Times New Roman" w:hAnsi="Times New Roman" w:cs="Times New Roman"/>
          <w:color w:val="auto"/>
          <w:szCs w:val="28"/>
        </w:rPr>
      </w:pPr>
    </w:p>
    <w:p>
      <w:pPr>
        <w:rPr>
          <w:rFonts w:hint="default" w:ascii="Times New Roman" w:hAnsi="Times New Roman" w:cs="Times New Roman"/>
          <w:color w:val="auto"/>
          <w:szCs w:val="28"/>
        </w:rPr>
      </w:pPr>
    </w:p>
    <w:p>
      <w:pPr>
        <w:rPr>
          <w:rFonts w:hint="default" w:ascii="Times New Roman" w:hAnsi="Times New Roman" w:cs="Times New Roman"/>
          <w:color w:val="auto"/>
          <w:szCs w:val="28"/>
        </w:rPr>
      </w:pPr>
    </w:p>
    <w:p>
      <w:pPr>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年  月  日</w:t>
      </w:r>
    </w:p>
    <w:p>
      <w:pPr>
        <w:widowControl/>
        <w:jc w:val="center"/>
        <w:rPr>
          <w:rFonts w:hint="default" w:ascii="Times New Roman" w:hAnsi="Times New Roman" w:cs="Times New Roman"/>
          <w:b/>
          <w:bCs/>
          <w:color w:val="auto"/>
          <w:szCs w:val="28"/>
        </w:rPr>
      </w:pPr>
    </w:p>
    <w:p>
      <w:pPr>
        <w:widowControl/>
        <w:rPr>
          <w:rFonts w:hint="default" w:ascii="Times New Roman" w:hAnsi="Times New Roman" w:cs="Times New Roman"/>
          <w:b/>
          <w:bCs/>
          <w:color w:val="auto"/>
          <w:szCs w:val="28"/>
        </w:rPr>
      </w:pPr>
    </w:p>
    <w:p>
      <w:pPr>
        <w:widowControl/>
        <w:rPr>
          <w:rFonts w:hint="default" w:ascii="Times New Roman" w:hAnsi="Times New Roman" w:cs="Times New Roman"/>
          <w:b/>
          <w:bCs/>
          <w:color w:val="auto"/>
          <w:szCs w:val="28"/>
        </w:rPr>
      </w:pPr>
    </w:p>
    <w:p>
      <w:pPr>
        <w:widowControl/>
        <w:rPr>
          <w:rFonts w:hint="default" w:ascii="Times New Roman" w:hAnsi="Times New Roman" w:cs="Times New Roman"/>
          <w:b/>
          <w:bCs/>
          <w:color w:val="auto"/>
          <w:szCs w:val="28"/>
        </w:rPr>
      </w:pPr>
    </w:p>
    <w:p>
      <w:pPr>
        <w:widowControl/>
        <w:rPr>
          <w:rFonts w:hint="default" w:ascii="Times New Roman" w:hAnsi="Times New Roman" w:cs="Times New Roman"/>
          <w:b/>
          <w:bCs/>
          <w:color w:val="auto"/>
          <w:szCs w:val="28"/>
        </w:rPr>
      </w:pPr>
    </w:p>
    <w:p>
      <w:pPr>
        <w:widowControl/>
        <w:rPr>
          <w:rFonts w:hint="default" w:ascii="Times New Roman" w:hAnsi="Times New Roman" w:cs="Times New Roman"/>
          <w:b/>
          <w:bCs/>
          <w:color w:val="auto"/>
          <w:szCs w:val="28"/>
        </w:rPr>
      </w:pPr>
    </w:p>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rPr>
      </w:pPr>
    </w:p>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rPr>
      </w:pPr>
    </w:p>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1</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rPr>
        <w:t>比选申请人资格条件证明材料</w:t>
      </w:r>
    </w:p>
    <w:p>
      <w:pPr>
        <w:pageBreakBefore w:val="0"/>
        <w:widowControl/>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需附上资格证明材料复印件并加盖鲜章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其中近三年申请人无重大违法违规记录承诺格式：</w:t>
      </w:r>
    </w:p>
    <w:p>
      <w:pPr>
        <w:pageBreakBefore w:val="0"/>
        <w:widowControl/>
        <w:kinsoku/>
        <w:wordWrap/>
        <w:overflowPunct/>
        <w:topLinePunct w:val="0"/>
        <w:bidi w:val="0"/>
        <w:snapToGrid/>
        <w:spacing w:line="600" w:lineRule="exact"/>
        <w:jc w:val="center"/>
        <w:textAlignment w:val="auto"/>
        <w:rPr>
          <w:rFonts w:hint="default" w:ascii="Times New Roman" w:hAnsi="Times New Roman" w:eastAsia="仿宋_GB2312" w:cs="Times New Roman"/>
          <w:b/>
          <w:color w:val="auto"/>
          <w:sz w:val="32"/>
          <w:szCs w:val="32"/>
        </w:rPr>
      </w:pPr>
    </w:p>
    <w:p>
      <w:pPr>
        <w:pageBreakBefore w:val="0"/>
        <w:widowControl/>
        <w:kinsoku/>
        <w:wordWrap/>
        <w:overflowPunct/>
        <w:topLinePunct w:val="0"/>
        <w:bidi w:val="0"/>
        <w:snapToGrid/>
        <w:spacing w:line="600" w:lineRule="exact"/>
        <w:jc w:val="center"/>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申请人无重大违法违规记录承诺</w:t>
      </w: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__________________（比选人）：</w:t>
      </w:r>
    </w:p>
    <w:p>
      <w:pPr>
        <w:pageBreakBefore w:val="0"/>
        <w:widowControl/>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我公司承诺，在参加本项目比选近三年内，在政府采购活动中无不良行为记录，在经营活动中无重大违法违规记录。若我公司虚假承诺，将自行承担由此带来的一切后果。</w:t>
      </w: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p>
    <w:p>
      <w:pPr>
        <w:pageBreakBefore w:val="0"/>
        <w:widowControl/>
        <w:kinsoku/>
        <w:wordWrap/>
        <w:overflowPunct/>
        <w:topLinePunct w:val="0"/>
        <w:bidi w:val="0"/>
        <w:snapToGrid/>
        <w:spacing w:line="600" w:lineRule="exact"/>
        <w:ind w:firstLine="4640" w:firstLineChars="145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申请人名称：（盖章）</w:t>
      </w:r>
    </w:p>
    <w:p>
      <w:pPr>
        <w:pageBreakBefore w:val="0"/>
        <w:widowControl/>
        <w:kinsoku/>
        <w:wordWrap/>
        <w:overflowPunct/>
        <w:topLinePunct w:val="0"/>
        <w:bidi w:val="0"/>
        <w:snapToGrid/>
        <w:spacing w:line="600" w:lineRule="exact"/>
        <w:ind w:firstLine="4640" w:firstLineChars="145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法定代表人或授权代表</w:t>
      </w:r>
    </w:p>
    <w:p>
      <w:pPr>
        <w:pageBreakBefore w:val="0"/>
        <w:widowControl/>
        <w:kinsoku/>
        <w:wordWrap/>
        <w:overflowPunct/>
        <w:topLinePunct w:val="0"/>
        <w:bidi w:val="0"/>
        <w:snapToGrid/>
        <w:spacing w:line="600" w:lineRule="exact"/>
        <w:ind w:firstLine="4640" w:firstLineChars="145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（签字）：</w:t>
      </w:r>
    </w:p>
    <w:p>
      <w:pPr>
        <w:pageBreakBefore w:val="0"/>
        <w:widowControl/>
        <w:kinsoku/>
        <w:wordWrap/>
        <w:overflowPunct/>
        <w:topLinePunct w:val="0"/>
        <w:bidi w:val="0"/>
        <w:snapToGrid/>
        <w:spacing w:line="600" w:lineRule="exact"/>
        <w:ind w:firstLine="4640" w:firstLineChars="145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日期：</w:t>
      </w:r>
    </w:p>
    <w:p>
      <w:pPr>
        <w:pageBreakBefore w:val="0"/>
        <w:widowControl/>
        <w:kinsoku/>
        <w:wordWrap/>
        <w:overflowPunct/>
        <w:topLinePunct w:val="0"/>
        <w:bidi w:val="0"/>
        <w:snapToGrid/>
        <w:spacing w:line="600" w:lineRule="exact"/>
        <w:jc w:val="center"/>
        <w:textAlignment w:val="auto"/>
        <w:rPr>
          <w:rFonts w:hint="default" w:ascii="Times New Roman" w:hAnsi="Times New Roman" w:eastAsia="仿宋_GB2312" w:cs="Times New Roman"/>
          <w:b/>
          <w:color w:val="auto"/>
          <w:sz w:val="32"/>
          <w:szCs w:val="32"/>
        </w:rPr>
      </w:pPr>
    </w:p>
    <w:p>
      <w:pPr>
        <w:pageBreakBefore w:val="0"/>
        <w:widowControl/>
        <w:kinsoku/>
        <w:wordWrap/>
        <w:overflowPunct/>
        <w:topLinePunct w:val="0"/>
        <w:bidi w:val="0"/>
        <w:snapToGrid/>
        <w:spacing w:line="600" w:lineRule="exact"/>
        <w:jc w:val="center"/>
        <w:textAlignment w:val="auto"/>
        <w:rPr>
          <w:rFonts w:hint="default" w:ascii="Times New Roman" w:hAnsi="Times New Roman" w:eastAsia="仿宋_GB2312" w:cs="Times New Roman"/>
          <w:b/>
          <w:color w:val="auto"/>
          <w:sz w:val="32"/>
          <w:szCs w:val="32"/>
        </w:rPr>
      </w:pPr>
    </w:p>
    <w:p>
      <w:pPr>
        <w:pageBreakBefore w:val="0"/>
        <w:widowControl/>
        <w:kinsoku/>
        <w:wordWrap/>
        <w:overflowPunct/>
        <w:topLinePunct w:val="0"/>
        <w:bidi w:val="0"/>
        <w:snapToGrid/>
        <w:spacing w:line="600" w:lineRule="exact"/>
        <w:jc w:val="center"/>
        <w:textAlignment w:val="auto"/>
        <w:rPr>
          <w:rFonts w:hint="default" w:ascii="Times New Roman" w:hAnsi="Times New Roman" w:eastAsia="仿宋_GB2312" w:cs="Times New Roman"/>
          <w:b/>
          <w:color w:val="auto"/>
          <w:sz w:val="32"/>
          <w:szCs w:val="32"/>
        </w:rPr>
      </w:pPr>
    </w:p>
    <w:p>
      <w:pPr>
        <w:pageBreakBefore w:val="0"/>
        <w:widowControl/>
        <w:kinsoku/>
        <w:wordWrap/>
        <w:overflowPunct/>
        <w:topLinePunct w:val="0"/>
        <w:bidi w:val="0"/>
        <w:snapToGrid/>
        <w:spacing w:line="600" w:lineRule="exact"/>
        <w:jc w:val="center"/>
        <w:textAlignment w:val="auto"/>
        <w:rPr>
          <w:rFonts w:hint="default" w:ascii="Times New Roman" w:hAnsi="Times New Roman" w:eastAsia="仿宋_GB2312" w:cs="Times New Roman"/>
          <w:b/>
          <w:color w:val="auto"/>
          <w:sz w:val="32"/>
          <w:szCs w:val="32"/>
        </w:rPr>
      </w:pPr>
    </w:p>
    <w:p>
      <w:pPr>
        <w:pageBreakBefore w:val="0"/>
        <w:widowControl/>
        <w:kinsoku/>
        <w:wordWrap/>
        <w:overflowPunct/>
        <w:topLinePunct w:val="0"/>
        <w:bidi w:val="0"/>
        <w:snapToGrid/>
        <w:spacing w:line="600" w:lineRule="exact"/>
        <w:jc w:val="center"/>
        <w:textAlignment w:val="auto"/>
        <w:rPr>
          <w:rFonts w:hint="default" w:ascii="Times New Roman" w:hAnsi="Times New Roman" w:eastAsia="仿宋_GB2312" w:cs="Times New Roman"/>
          <w:b/>
          <w:color w:val="auto"/>
          <w:sz w:val="32"/>
          <w:szCs w:val="32"/>
        </w:rPr>
      </w:pPr>
    </w:p>
    <w:p>
      <w:pPr>
        <w:pageBreakBefore w:val="0"/>
        <w:widowControl/>
        <w:kinsoku/>
        <w:wordWrap/>
        <w:overflowPunct/>
        <w:topLinePunct w:val="0"/>
        <w:bidi w:val="0"/>
        <w:snapToGrid/>
        <w:spacing w:line="600" w:lineRule="exact"/>
        <w:jc w:val="center"/>
        <w:textAlignment w:val="auto"/>
        <w:rPr>
          <w:rFonts w:hint="default" w:ascii="Times New Roman" w:hAnsi="Times New Roman" w:eastAsia="仿宋_GB2312" w:cs="Times New Roman"/>
          <w:b/>
          <w:color w:val="auto"/>
          <w:sz w:val="32"/>
          <w:szCs w:val="32"/>
        </w:rPr>
      </w:pPr>
    </w:p>
    <w:p>
      <w:pPr>
        <w:pageBreakBefore w:val="0"/>
        <w:widowControl/>
        <w:kinsoku/>
        <w:wordWrap/>
        <w:overflowPunct/>
        <w:topLinePunct w:val="0"/>
        <w:bidi w:val="0"/>
        <w:snapToGrid/>
        <w:spacing w:line="600" w:lineRule="exact"/>
        <w:jc w:val="center"/>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申请人未被政府采购监督管理部门行政处罚承诺函</w:t>
      </w: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__________________（比选人）：</w:t>
      </w:r>
    </w:p>
    <w:p>
      <w:pPr>
        <w:pageBreakBefore w:val="0"/>
        <w:widowControl/>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我公司承诺，在参加本项目比选近三年内，在政府采购活动中未被政府采购监督管理部门行政处罚。若我公司虚假承诺，将自行承担由此带来的一切后果。</w:t>
      </w: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p>
    <w:p>
      <w:pPr>
        <w:pageBreakBefore w:val="0"/>
        <w:widowControl/>
        <w:kinsoku/>
        <w:wordWrap/>
        <w:overflowPunct/>
        <w:topLinePunct w:val="0"/>
        <w:bidi w:val="0"/>
        <w:snapToGrid/>
        <w:spacing w:line="600" w:lineRule="exact"/>
        <w:ind w:firstLine="4640" w:firstLineChars="145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申请人名称：（盖章）</w:t>
      </w:r>
    </w:p>
    <w:p>
      <w:pPr>
        <w:pageBreakBefore w:val="0"/>
        <w:widowControl/>
        <w:kinsoku/>
        <w:wordWrap/>
        <w:overflowPunct/>
        <w:topLinePunct w:val="0"/>
        <w:bidi w:val="0"/>
        <w:snapToGrid/>
        <w:spacing w:line="600" w:lineRule="exact"/>
        <w:ind w:firstLine="4640" w:firstLineChars="145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法定代表人或授权代表</w:t>
      </w:r>
    </w:p>
    <w:p>
      <w:pPr>
        <w:pageBreakBefore w:val="0"/>
        <w:widowControl/>
        <w:kinsoku/>
        <w:wordWrap/>
        <w:overflowPunct/>
        <w:topLinePunct w:val="0"/>
        <w:bidi w:val="0"/>
        <w:snapToGrid/>
        <w:spacing w:line="600" w:lineRule="exact"/>
        <w:ind w:firstLine="4640" w:firstLineChars="145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（签字）：</w:t>
      </w:r>
    </w:p>
    <w:p>
      <w:pPr>
        <w:pageBreakBefore w:val="0"/>
        <w:widowControl/>
        <w:kinsoku/>
        <w:wordWrap/>
        <w:overflowPunct/>
        <w:topLinePunct w:val="0"/>
        <w:bidi w:val="0"/>
        <w:snapToGrid/>
        <w:spacing w:line="600" w:lineRule="exact"/>
        <w:ind w:firstLine="4640" w:firstLineChars="145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日期：</w:t>
      </w:r>
    </w:p>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rPr>
      </w:pPr>
      <w:bookmarkStart w:id="15" w:name="_Toc279131284"/>
    </w:p>
    <w:p>
      <w:pP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bookmarkEnd w:id="15"/>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rPr>
      </w:pPr>
      <w:bookmarkStart w:id="16" w:name="_Toc278896705"/>
      <w:bookmarkStart w:id="17" w:name="_Toc142793498"/>
      <w:bookmarkStart w:id="18" w:name="_Toc279052256"/>
      <w:bookmarkStart w:id="19" w:name="_Toc181610970"/>
      <w:bookmarkStart w:id="20" w:name="_Toc181591164"/>
      <w:bookmarkStart w:id="21" w:name="_Toc146430113"/>
      <w:bookmarkStart w:id="22" w:name="_Toc204575946"/>
      <w:bookmarkStart w:id="23" w:name="_Toc215469626"/>
      <w:bookmarkStart w:id="24" w:name="_Toc279062351"/>
      <w:bookmarkStart w:id="25" w:name="_Toc279131285"/>
      <w:r>
        <w:rPr>
          <w:rFonts w:hint="eastAsia"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rPr>
        <w:t>法定代表人授权书</w:t>
      </w:r>
      <w:bookmarkEnd w:id="16"/>
      <w:bookmarkEnd w:id="17"/>
      <w:bookmarkEnd w:id="18"/>
      <w:bookmarkEnd w:id="19"/>
      <w:bookmarkEnd w:id="20"/>
      <w:bookmarkEnd w:id="21"/>
      <w:bookmarkEnd w:id="22"/>
      <w:bookmarkEnd w:id="23"/>
      <w:bookmarkEnd w:id="24"/>
      <w:bookmarkEnd w:id="25"/>
    </w:p>
    <w:p>
      <w:pPr>
        <w:pageBreakBefore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仿宋_GB2312" w:cs="Times New Roman"/>
          <w:color w:val="auto"/>
          <w:kern w:val="0"/>
          <w:sz w:val="32"/>
          <w:szCs w:val="32"/>
        </w:rPr>
      </w:pPr>
    </w:p>
    <w:p>
      <w:pPr>
        <w:pageBreakBefore w:val="0"/>
        <w:widowControl/>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本授权委托书声明：我</w:t>
      </w:r>
      <w:r>
        <w:rPr>
          <w:rFonts w:hint="default" w:ascii="Times New Roman" w:hAnsi="Times New Roman" w:eastAsia="仿宋_GB2312" w:cs="Times New Roman"/>
          <w:color w:val="auto"/>
          <w:sz w:val="32"/>
          <w:szCs w:val="32"/>
          <w:u w:val="single"/>
        </w:rPr>
        <w:t>（姓名）</w:t>
      </w:r>
      <w:r>
        <w:rPr>
          <w:rFonts w:hint="default" w:ascii="Times New Roman" w:hAnsi="Times New Roman" w:eastAsia="仿宋_GB2312" w:cs="Times New Roman"/>
          <w:color w:val="auto"/>
          <w:sz w:val="32"/>
          <w:szCs w:val="32"/>
        </w:rPr>
        <w:t>系</w:t>
      </w:r>
      <w:r>
        <w:rPr>
          <w:rFonts w:hint="default" w:ascii="Times New Roman" w:hAnsi="Times New Roman" w:eastAsia="仿宋_GB2312" w:cs="Times New Roman"/>
          <w:color w:val="auto"/>
          <w:sz w:val="32"/>
          <w:szCs w:val="32"/>
          <w:u w:val="single"/>
        </w:rPr>
        <w:t>（比选申请人名称）</w:t>
      </w:r>
      <w:r>
        <w:rPr>
          <w:rFonts w:hint="default" w:ascii="Times New Roman" w:hAnsi="Times New Roman" w:eastAsia="仿宋_GB2312" w:cs="Times New Roman"/>
          <w:color w:val="auto"/>
          <w:sz w:val="32"/>
          <w:szCs w:val="32"/>
        </w:rPr>
        <w:t>的法定代表人，现授权</w:t>
      </w:r>
      <w:r>
        <w:rPr>
          <w:rFonts w:hint="default" w:ascii="Times New Roman" w:hAnsi="Times New Roman" w:eastAsia="仿宋_GB2312" w:cs="Times New Roman"/>
          <w:color w:val="auto"/>
          <w:sz w:val="32"/>
          <w:szCs w:val="32"/>
          <w:u w:val="single"/>
        </w:rPr>
        <w:t>（姓名）</w:t>
      </w:r>
      <w:r>
        <w:rPr>
          <w:rFonts w:hint="default" w:ascii="Times New Roman" w:hAnsi="Times New Roman" w:eastAsia="仿宋_GB2312" w:cs="Times New Roman"/>
          <w:color w:val="auto"/>
          <w:sz w:val="32"/>
          <w:szCs w:val="32"/>
        </w:rPr>
        <w:t>为我单位委托代理人，以本单位的名义参加</w:t>
      </w:r>
      <w:r>
        <w:rPr>
          <w:rFonts w:hint="default" w:ascii="Times New Roman" w:hAnsi="Times New Roman" w:eastAsia="仿宋_GB2312" w:cs="Times New Roman"/>
          <w:color w:val="auto"/>
          <w:sz w:val="32"/>
          <w:szCs w:val="32"/>
          <w:u w:val="single"/>
        </w:rPr>
        <w:t>（项目名称）</w:t>
      </w:r>
      <w:r>
        <w:rPr>
          <w:rFonts w:hint="default" w:ascii="Times New Roman" w:hAnsi="Times New Roman" w:eastAsia="仿宋_GB2312" w:cs="Times New Roman"/>
          <w:color w:val="auto"/>
          <w:sz w:val="32"/>
          <w:szCs w:val="32"/>
        </w:rPr>
        <w:t>的比选活动。委托代理人在比选活动和评比、谈判以及合同签订过程中所签署的一切文件和处理与之有关的一切事务，我及我单位均予以承认，并全部承担其产生的所有权利和义务。</w:t>
      </w:r>
    </w:p>
    <w:p>
      <w:pPr>
        <w:pageBreakBefore w:val="0"/>
        <w:widowControl/>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委托代理人无转委托权。特此委托。</w:t>
      </w: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授权人（法定代表人）：（签字）</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联系电话：</w:t>
      </w: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委托代理人：（签字）</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手机：</w:t>
      </w: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委托代理人部门：</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职务：</w:t>
      </w: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单位电话： </w:t>
      </w: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比选申请人：（全称并加盖公章）</w:t>
      </w: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日期：</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p>
    <w:p>
      <w:pPr>
        <w:pageBreakBefore w:val="0"/>
        <w:widowControl/>
        <w:kinsoku/>
        <w:wordWrap/>
        <w:overflowPunct/>
        <w:topLinePunct w:val="0"/>
        <w:bidi w:val="0"/>
        <w:snapToGrid/>
        <w:spacing w:line="6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（附法定代表人、委托代理人身份证复印件并加盖公章）</w:t>
      </w:r>
    </w:p>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rPr>
      </w:pPr>
      <w:bookmarkStart w:id="26" w:name="_Toc279131286"/>
    </w:p>
    <w:p>
      <w:pP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rPr>
      </w:pPr>
    </w:p>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rPr>
        <w:t>比选申请人机构简介</w:t>
      </w:r>
      <w:bookmarkEnd w:id="26"/>
    </w:p>
    <w:tbl>
      <w:tblPr>
        <w:tblStyle w:val="8"/>
        <w:tblW w:w="8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7"/>
        <w:gridCol w:w="2798"/>
        <w:gridCol w:w="1446"/>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8472" w:type="dxa"/>
            <w:gridSpan w:val="4"/>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比选申请人企业登记信息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2527" w:type="dxa"/>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企业法人名称</w:t>
            </w:r>
          </w:p>
        </w:tc>
        <w:tc>
          <w:tcPr>
            <w:tcW w:w="5945" w:type="dxa"/>
            <w:gridSpan w:val="3"/>
            <w:vAlign w:val="center"/>
          </w:tcPr>
          <w:p>
            <w:pP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2527" w:type="dxa"/>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详细住所</w:t>
            </w:r>
          </w:p>
        </w:tc>
        <w:tc>
          <w:tcPr>
            <w:tcW w:w="5945" w:type="dxa"/>
            <w:gridSpan w:val="3"/>
            <w:vAlign w:val="center"/>
          </w:tcPr>
          <w:p>
            <w:pP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2527" w:type="dxa"/>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法定代表人</w:t>
            </w:r>
          </w:p>
        </w:tc>
        <w:tc>
          <w:tcPr>
            <w:tcW w:w="5945" w:type="dxa"/>
            <w:gridSpan w:val="3"/>
            <w:vAlign w:val="center"/>
          </w:tcPr>
          <w:p>
            <w:pP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2527" w:type="dxa"/>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组织机构代码</w:t>
            </w:r>
          </w:p>
        </w:tc>
        <w:tc>
          <w:tcPr>
            <w:tcW w:w="5945" w:type="dxa"/>
            <w:gridSpan w:val="3"/>
            <w:vAlign w:val="center"/>
          </w:tcPr>
          <w:p>
            <w:pP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2527" w:type="dxa"/>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资格等级</w:t>
            </w:r>
          </w:p>
        </w:tc>
        <w:tc>
          <w:tcPr>
            <w:tcW w:w="5945" w:type="dxa"/>
            <w:gridSpan w:val="3"/>
            <w:vAlign w:val="center"/>
          </w:tcPr>
          <w:p>
            <w:pP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2527" w:type="dxa"/>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证书编号</w:t>
            </w:r>
          </w:p>
        </w:tc>
        <w:tc>
          <w:tcPr>
            <w:tcW w:w="5945" w:type="dxa"/>
            <w:gridSpan w:val="3"/>
            <w:vAlign w:val="center"/>
          </w:tcPr>
          <w:p>
            <w:pP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2527" w:type="dxa"/>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发证机关</w:t>
            </w:r>
          </w:p>
        </w:tc>
        <w:tc>
          <w:tcPr>
            <w:tcW w:w="2798" w:type="dxa"/>
            <w:tcBorders>
              <w:right w:val="single" w:color="auto" w:sz="4" w:space="0"/>
            </w:tcBorders>
            <w:vAlign w:val="center"/>
          </w:tcPr>
          <w:p>
            <w:pPr>
              <w:jc w:val="left"/>
              <w:rPr>
                <w:rFonts w:hint="default" w:ascii="Times New Roman" w:hAnsi="Times New Roman" w:cs="Times New Roman"/>
                <w:color w:val="auto"/>
                <w:sz w:val="24"/>
                <w:szCs w:val="24"/>
              </w:rPr>
            </w:pPr>
          </w:p>
        </w:tc>
        <w:tc>
          <w:tcPr>
            <w:tcW w:w="1446" w:type="dxa"/>
            <w:tcBorders>
              <w:left w:val="single" w:color="auto" w:sz="4" w:space="0"/>
              <w:right w:val="single" w:color="auto" w:sz="4" w:space="0"/>
            </w:tcBorders>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有效期</w:t>
            </w:r>
          </w:p>
        </w:tc>
        <w:tc>
          <w:tcPr>
            <w:tcW w:w="1701" w:type="dxa"/>
            <w:tcBorders>
              <w:left w:val="single" w:color="auto" w:sz="4" w:space="0"/>
            </w:tcBorders>
            <w:vAlign w:val="center"/>
          </w:tcPr>
          <w:p>
            <w:pP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2527" w:type="dxa"/>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机构电话（含手机）</w:t>
            </w:r>
          </w:p>
        </w:tc>
        <w:tc>
          <w:tcPr>
            <w:tcW w:w="5945" w:type="dxa"/>
            <w:gridSpan w:val="3"/>
            <w:vAlign w:val="center"/>
          </w:tcPr>
          <w:p>
            <w:pP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2527" w:type="dxa"/>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机构传真</w:t>
            </w:r>
          </w:p>
        </w:tc>
        <w:tc>
          <w:tcPr>
            <w:tcW w:w="5945" w:type="dxa"/>
            <w:gridSpan w:val="3"/>
            <w:vAlign w:val="center"/>
          </w:tcPr>
          <w:p>
            <w:pP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2527" w:type="dxa"/>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企业类型</w:t>
            </w:r>
          </w:p>
        </w:tc>
        <w:tc>
          <w:tcPr>
            <w:tcW w:w="5945" w:type="dxa"/>
            <w:gridSpan w:val="3"/>
            <w:vAlign w:val="center"/>
          </w:tcPr>
          <w:p>
            <w:pP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2527" w:type="dxa"/>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注册号码</w:t>
            </w:r>
          </w:p>
        </w:tc>
        <w:tc>
          <w:tcPr>
            <w:tcW w:w="2798" w:type="dxa"/>
            <w:tcBorders>
              <w:right w:val="single" w:color="auto" w:sz="4" w:space="0"/>
            </w:tcBorders>
            <w:vAlign w:val="center"/>
          </w:tcPr>
          <w:p>
            <w:pPr>
              <w:rPr>
                <w:rFonts w:hint="default" w:ascii="Times New Roman" w:hAnsi="Times New Roman" w:cs="Times New Roman"/>
                <w:color w:val="auto"/>
                <w:sz w:val="24"/>
                <w:szCs w:val="24"/>
              </w:rPr>
            </w:pPr>
          </w:p>
        </w:tc>
        <w:tc>
          <w:tcPr>
            <w:tcW w:w="1446" w:type="dxa"/>
            <w:tcBorders>
              <w:right w:val="single" w:color="auto" w:sz="4" w:space="0"/>
            </w:tcBorders>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邮政编码</w:t>
            </w:r>
          </w:p>
        </w:tc>
        <w:tc>
          <w:tcPr>
            <w:tcW w:w="1701" w:type="dxa"/>
            <w:tcBorders>
              <w:left w:val="single" w:color="auto" w:sz="4" w:space="0"/>
            </w:tcBorders>
            <w:vAlign w:val="center"/>
          </w:tcPr>
          <w:p>
            <w:pP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2527" w:type="dxa"/>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营业期限</w:t>
            </w:r>
          </w:p>
        </w:tc>
        <w:tc>
          <w:tcPr>
            <w:tcW w:w="5945" w:type="dxa"/>
            <w:gridSpan w:val="3"/>
            <w:vAlign w:val="center"/>
          </w:tcPr>
          <w:p>
            <w:pPr>
              <w:rPr>
                <w:rFonts w:hint="default" w:ascii="Times New Roman" w:hAnsi="Times New Roman" w:cs="Times New Roman"/>
                <w:color w:val="auto"/>
                <w:sz w:val="24"/>
                <w:szCs w:val="24"/>
              </w:rPr>
            </w:pPr>
          </w:p>
        </w:tc>
      </w:tr>
    </w:tbl>
    <w:p>
      <w:pPr>
        <w:rPr>
          <w:rFonts w:hint="default" w:ascii="Times New Roman" w:hAnsi="Times New Roman" w:cs="Times New Roman"/>
          <w:color w:val="auto"/>
          <w:szCs w:val="28"/>
        </w:rPr>
      </w:pPr>
      <w:r>
        <w:rPr>
          <w:rFonts w:hint="default" w:ascii="Times New Roman" w:hAnsi="Times New Roman" w:cs="Times New Roman"/>
          <w:color w:val="auto"/>
          <w:sz w:val="24"/>
          <w:szCs w:val="24"/>
        </w:rPr>
        <w:t>注：在本页后应附企业法人营业执照副本和资格证书复印件</w:t>
      </w:r>
      <w:bookmarkStart w:id="27" w:name="_Toc279131287"/>
    </w:p>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rPr>
      </w:pPr>
    </w:p>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rPr>
        <w:t>比选申请人招标代理</w:t>
      </w:r>
      <w:r>
        <w:rPr>
          <w:rFonts w:hint="eastAsia" w:ascii="Times New Roman" w:hAnsi="Times New Roman" w:eastAsia="黑体" w:cs="Times New Roman"/>
          <w:color w:val="auto"/>
          <w:sz w:val="32"/>
          <w:szCs w:val="32"/>
          <w:lang w:val="en-US" w:eastAsia="zh-CN"/>
        </w:rPr>
        <w:t>宣传思想文化领域的</w:t>
      </w:r>
      <w:r>
        <w:rPr>
          <w:rFonts w:hint="default" w:ascii="Times New Roman" w:hAnsi="Times New Roman" w:eastAsia="黑体" w:cs="Times New Roman"/>
          <w:color w:val="auto"/>
          <w:sz w:val="32"/>
          <w:szCs w:val="32"/>
        </w:rPr>
        <w:t>采购业绩</w:t>
      </w:r>
      <w:bookmarkEnd w:id="27"/>
    </w:p>
    <w:tbl>
      <w:tblPr>
        <w:tblStyle w:val="8"/>
        <w:tblW w:w="4801" w:type="pct"/>
        <w:jc w:val="center"/>
        <w:tblLayout w:type="autofit"/>
        <w:tblCellMar>
          <w:top w:w="0" w:type="dxa"/>
          <w:left w:w="108" w:type="dxa"/>
          <w:bottom w:w="0" w:type="dxa"/>
          <w:right w:w="108" w:type="dxa"/>
        </w:tblCellMar>
      </w:tblPr>
      <w:tblGrid>
        <w:gridCol w:w="698"/>
        <w:gridCol w:w="1370"/>
        <w:gridCol w:w="1760"/>
        <w:gridCol w:w="1891"/>
        <w:gridCol w:w="1514"/>
        <w:gridCol w:w="950"/>
      </w:tblGrid>
      <w:tr>
        <w:tblPrEx>
          <w:tblCellMar>
            <w:top w:w="0" w:type="dxa"/>
            <w:left w:w="108" w:type="dxa"/>
            <w:bottom w:w="0" w:type="dxa"/>
            <w:right w:w="108" w:type="dxa"/>
          </w:tblCellMar>
        </w:tblPrEx>
        <w:trPr>
          <w:trHeight w:val="720" w:hRule="atLeast"/>
          <w:jc w:val="center"/>
        </w:trPr>
        <w:tc>
          <w:tcPr>
            <w:tcW w:w="40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序号</w:t>
            </w:r>
          </w:p>
        </w:tc>
        <w:tc>
          <w:tcPr>
            <w:tcW w:w="841"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采购人</w:t>
            </w:r>
          </w:p>
        </w:tc>
        <w:tc>
          <w:tcPr>
            <w:tcW w:w="107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委托项目</w:t>
            </w:r>
          </w:p>
        </w:tc>
        <w:tc>
          <w:tcPr>
            <w:tcW w:w="115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项目编号</w:t>
            </w:r>
          </w:p>
        </w:tc>
        <w:tc>
          <w:tcPr>
            <w:tcW w:w="92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开标时间</w:t>
            </w:r>
          </w:p>
        </w:tc>
        <w:tc>
          <w:tcPr>
            <w:tcW w:w="584"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中标金额(万元）</w:t>
            </w:r>
          </w:p>
        </w:tc>
      </w:tr>
      <w:tr>
        <w:tblPrEx>
          <w:tblCellMar>
            <w:top w:w="0" w:type="dxa"/>
            <w:left w:w="108" w:type="dxa"/>
            <w:bottom w:w="0" w:type="dxa"/>
            <w:right w:w="108" w:type="dxa"/>
          </w:tblCellMar>
        </w:tblPrEx>
        <w:trPr>
          <w:trHeight w:val="720" w:hRule="atLeast"/>
          <w:jc w:val="center"/>
        </w:trPr>
        <w:tc>
          <w:tcPr>
            <w:tcW w:w="40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w:t>
            </w:r>
          </w:p>
        </w:tc>
        <w:tc>
          <w:tcPr>
            <w:tcW w:w="841"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107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115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92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584"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r>
      <w:tr>
        <w:tblPrEx>
          <w:tblCellMar>
            <w:top w:w="0" w:type="dxa"/>
            <w:left w:w="108" w:type="dxa"/>
            <w:bottom w:w="0" w:type="dxa"/>
            <w:right w:w="108" w:type="dxa"/>
          </w:tblCellMar>
        </w:tblPrEx>
        <w:trPr>
          <w:trHeight w:val="720" w:hRule="atLeast"/>
          <w:jc w:val="center"/>
        </w:trPr>
        <w:tc>
          <w:tcPr>
            <w:tcW w:w="40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w:t>
            </w:r>
          </w:p>
        </w:tc>
        <w:tc>
          <w:tcPr>
            <w:tcW w:w="841"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107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115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92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584"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r>
      <w:tr>
        <w:tblPrEx>
          <w:tblCellMar>
            <w:top w:w="0" w:type="dxa"/>
            <w:left w:w="108" w:type="dxa"/>
            <w:bottom w:w="0" w:type="dxa"/>
            <w:right w:w="108" w:type="dxa"/>
          </w:tblCellMar>
        </w:tblPrEx>
        <w:trPr>
          <w:trHeight w:val="720" w:hRule="atLeast"/>
          <w:jc w:val="center"/>
        </w:trPr>
        <w:tc>
          <w:tcPr>
            <w:tcW w:w="40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3</w:t>
            </w:r>
          </w:p>
        </w:tc>
        <w:tc>
          <w:tcPr>
            <w:tcW w:w="841"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107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115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92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584"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r>
      <w:tr>
        <w:tblPrEx>
          <w:tblCellMar>
            <w:top w:w="0" w:type="dxa"/>
            <w:left w:w="108" w:type="dxa"/>
            <w:bottom w:w="0" w:type="dxa"/>
            <w:right w:w="108" w:type="dxa"/>
          </w:tblCellMar>
        </w:tblPrEx>
        <w:trPr>
          <w:trHeight w:val="720" w:hRule="atLeast"/>
          <w:jc w:val="center"/>
        </w:trPr>
        <w:tc>
          <w:tcPr>
            <w:tcW w:w="40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w:t>
            </w:r>
          </w:p>
        </w:tc>
        <w:tc>
          <w:tcPr>
            <w:tcW w:w="841"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107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115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92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584"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r>
      <w:tr>
        <w:tblPrEx>
          <w:tblCellMar>
            <w:top w:w="0" w:type="dxa"/>
            <w:left w:w="108" w:type="dxa"/>
            <w:bottom w:w="0" w:type="dxa"/>
            <w:right w:w="108" w:type="dxa"/>
          </w:tblCellMar>
        </w:tblPrEx>
        <w:trPr>
          <w:trHeight w:val="720" w:hRule="atLeast"/>
          <w:jc w:val="center"/>
        </w:trPr>
        <w:tc>
          <w:tcPr>
            <w:tcW w:w="40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w:t>
            </w:r>
          </w:p>
        </w:tc>
        <w:tc>
          <w:tcPr>
            <w:tcW w:w="841"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1079"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1159"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929"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c>
          <w:tcPr>
            <w:tcW w:w="584"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auto"/>
                <w:kern w:val="0"/>
                <w:sz w:val="24"/>
                <w:szCs w:val="24"/>
              </w:rPr>
            </w:pPr>
          </w:p>
        </w:tc>
      </w:tr>
    </w:tbl>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rPr>
      </w:pPr>
      <w:bookmarkStart w:id="28" w:name="_Toc279131288"/>
    </w:p>
    <w:p>
      <w:pPr>
        <w:rPr>
          <w:rFonts w:hint="default"/>
        </w:rPr>
      </w:pPr>
    </w:p>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拟投入本项目专业人员表</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174"/>
        <w:gridCol w:w="1127"/>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127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职务</w:t>
            </w:r>
          </w:p>
        </w:tc>
        <w:tc>
          <w:tcPr>
            <w:tcW w:w="66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姓名</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资质或职称</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1" w:type="pct"/>
            <w:vAlign w:val="center"/>
          </w:tcPr>
          <w:p>
            <w:pPr>
              <w:spacing w:line="552"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75" w:type="pct"/>
            <w:vAlign w:val="center"/>
          </w:tcPr>
          <w:p>
            <w:pPr>
              <w:spacing w:line="552" w:lineRule="auto"/>
              <w:jc w:val="center"/>
              <w:rPr>
                <w:rFonts w:hint="eastAsia" w:asciiTheme="minorEastAsia" w:hAnsiTheme="minorEastAsia" w:eastAsiaTheme="minorEastAsia" w:cstheme="minorEastAsia"/>
                <w:color w:val="auto"/>
                <w:sz w:val="24"/>
                <w:szCs w:val="24"/>
              </w:rPr>
            </w:pPr>
          </w:p>
        </w:tc>
        <w:tc>
          <w:tcPr>
            <w:tcW w:w="661" w:type="pct"/>
            <w:vAlign w:val="center"/>
          </w:tcPr>
          <w:p>
            <w:pPr>
              <w:spacing w:line="552" w:lineRule="auto"/>
              <w:jc w:val="center"/>
              <w:rPr>
                <w:rFonts w:hint="eastAsia" w:asciiTheme="minorEastAsia" w:hAnsiTheme="minorEastAsia" w:eastAsiaTheme="minorEastAsia" w:cstheme="minorEastAsia"/>
                <w:color w:val="auto"/>
                <w:sz w:val="24"/>
                <w:szCs w:val="24"/>
              </w:rPr>
            </w:pPr>
          </w:p>
        </w:tc>
        <w:tc>
          <w:tcPr>
            <w:tcW w:w="1250" w:type="pct"/>
            <w:vAlign w:val="center"/>
          </w:tcPr>
          <w:p>
            <w:pPr>
              <w:spacing w:line="552" w:lineRule="auto"/>
              <w:jc w:val="center"/>
              <w:rPr>
                <w:rFonts w:hint="eastAsia" w:asciiTheme="minorEastAsia" w:hAnsiTheme="minorEastAsia" w:eastAsiaTheme="minorEastAsia" w:cstheme="minorEastAsia"/>
                <w:color w:val="auto"/>
                <w:sz w:val="24"/>
                <w:szCs w:val="24"/>
              </w:rPr>
            </w:pPr>
          </w:p>
        </w:tc>
        <w:tc>
          <w:tcPr>
            <w:tcW w:w="1250" w:type="pct"/>
          </w:tcPr>
          <w:p>
            <w:pPr>
              <w:spacing w:line="552"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1" w:type="pct"/>
            <w:vAlign w:val="center"/>
          </w:tcPr>
          <w:p>
            <w:pPr>
              <w:spacing w:line="552"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75" w:type="pct"/>
            <w:vAlign w:val="center"/>
          </w:tcPr>
          <w:p>
            <w:pPr>
              <w:spacing w:line="552" w:lineRule="auto"/>
              <w:jc w:val="center"/>
              <w:rPr>
                <w:rFonts w:hint="eastAsia" w:asciiTheme="minorEastAsia" w:hAnsiTheme="minorEastAsia" w:eastAsiaTheme="minorEastAsia" w:cstheme="minorEastAsia"/>
                <w:color w:val="auto"/>
                <w:sz w:val="24"/>
                <w:szCs w:val="24"/>
              </w:rPr>
            </w:pPr>
          </w:p>
        </w:tc>
        <w:tc>
          <w:tcPr>
            <w:tcW w:w="661" w:type="pct"/>
            <w:vAlign w:val="center"/>
          </w:tcPr>
          <w:p>
            <w:pPr>
              <w:spacing w:line="552" w:lineRule="auto"/>
              <w:jc w:val="center"/>
              <w:rPr>
                <w:rFonts w:hint="eastAsia" w:asciiTheme="minorEastAsia" w:hAnsiTheme="minorEastAsia" w:eastAsiaTheme="minorEastAsia" w:cstheme="minorEastAsia"/>
                <w:color w:val="auto"/>
                <w:sz w:val="24"/>
                <w:szCs w:val="24"/>
              </w:rPr>
            </w:pPr>
          </w:p>
        </w:tc>
        <w:tc>
          <w:tcPr>
            <w:tcW w:w="1250" w:type="pct"/>
            <w:vAlign w:val="center"/>
          </w:tcPr>
          <w:p>
            <w:pPr>
              <w:spacing w:line="552" w:lineRule="auto"/>
              <w:jc w:val="center"/>
              <w:rPr>
                <w:rFonts w:hint="eastAsia" w:asciiTheme="minorEastAsia" w:hAnsiTheme="minorEastAsia" w:eastAsiaTheme="minorEastAsia" w:cstheme="minorEastAsia"/>
                <w:color w:val="auto"/>
                <w:sz w:val="24"/>
                <w:szCs w:val="24"/>
              </w:rPr>
            </w:pPr>
          </w:p>
        </w:tc>
        <w:tc>
          <w:tcPr>
            <w:tcW w:w="1250" w:type="pct"/>
          </w:tcPr>
          <w:p>
            <w:pPr>
              <w:spacing w:line="552"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1" w:type="pct"/>
            <w:vAlign w:val="center"/>
          </w:tcPr>
          <w:p>
            <w:pPr>
              <w:spacing w:line="552"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275" w:type="pct"/>
            <w:vAlign w:val="center"/>
          </w:tcPr>
          <w:p>
            <w:pPr>
              <w:spacing w:line="552" w:lineRule="auto"/>
              <w:jc w:val="center"/>
              <w:rPr>
                <w:rFonts w:hint="eastAsia" w:asciiTheme="minorEastAsia" w:hAnsiTheme="minorEastAsia" w:eastAsiaTheme="minorEastAsia" w:cstheme="minorEastAsia"/>
                <w:color w:val="auto"/>
                <w:sz w:val="24"/>
                <w:szCs w:val="24"/>
              </w:rPr>
            </w:pPr>
          </w:p>
        </w:tc>
        <w:tc>
          <w:tcPr>
            <w:tcW w:w="661" w:type="pct"/>
            <w:vAlign w:val="center"/>
          </w:tcPr>
          <w:p>
            <w:pPr>
              <w:spacing w:line="552" w:lineRule="auto"/>
              <w:jc w:val="center"/>
              <w:rPr>
                <w:rFonts w:hint="eastAsia" w:asciiTheme="minorEastAsia" w:hAnsiTheme="minorEastAsia" w:eastAsiaTheme="minorEastAsia" w:cstheme="minorEastAsia"/>
                <w:color w:val="auto"/>
                <w:sz w:val="24"/>
                <w:szCs w:val="24"/>
              </w:rPr>
            </w:pPr>
          </w:p>
        </w:tc>
        <w:tc>
          <w:tcPr>
            <w:tcW w:w="1250" w:type="pct"/>
            <w:vAlign w:val="center"/>
          </w:tcPr>
          <w:p>
            <w:pPr>
              <w:spacing w:line="552" w:lineRule="auto"/>
              <w:jc w:val="center"/>
              <w:rPr>
                <w:rFonts w:hint="eastAsia" w:asciiTheme="minorEastAsia" w:hAnsiTheme="minorEastAsia" w:eastAsiaTheme="minorEastAsia" w:cstheme="minorEastAsia"/>
                <w:color w:val="auto"/>
                <w:sz w:val="24"/>
                <w:szCs w:val="24"/>
              </w:rPr>
            </w:pPr>
          </w:p>
        </w:tc>
        <w:tc>
          <w:tcPr>
            <w:tcW w:w="1250" w:type="pct"/>
          </w:tcPr>
          <w:p>
            <w:pPr>
              <w:spacing w:line="552"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1" w:type="pct"/>
            <w:vAlign w:val="center"/>
          </w:tcPr>
          <w:p>
            <w:pPr>
              <w:spacing w:line="552"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275" w:type="pct"/>
            <w:vAlign w:val="center"/>
          </w:tcPr>
          <w:p>
            <w:pPr>
              <w:spacing w:line="552" w:lineRule="auto"/>
              <w:jc w:val="center"/>
              <w:rPr>
                <w:rFonts w:hint="eastAsia" w:asciiTheme="minorEastAsia" w:hAnsiTheme="minorEastAsia" w:eastAsiaTheme="minorEastAsia" w:cstheme="minorEastAsia"/>
                <w:color w:val="auto"/>
                <w:sz w:val="24"/>
                <w:szCs w:val="24"/>
              </w:rPr>
            </w:pPr>
          </w:p>
        </w:tc>
        <w:tc>
          <w:tcPr>
            <w:tcW w:w="661" w:type="pct"/>
            <w:vAlign w:val="center"/>
          </w:tcPr>
          <w:p>
            <w:pPr>
              <w:spacing w:line="552" w:lineRule="auto"/>
              <w:jc w:val="center"/>
              <w:rPr>
                <w:rFonts w:hint="eastAsia" w:asciiTheme="minorEastAsia" w:hAnsiTheme="minorEastAsia" w:eastAsiaTheme="minorEastAsia" w:cstheme="minorEastAsia"/>
                <w:color w:val="auto"/>
                <w:sz w:val="24"/>
                <w:szCs w:val="24"/>
              </w:rPr>
            </w:pPr>
          </w:p>
        </w:tc>
        <w:tc>
          <w:tcPr>
            <w:tcW w:w="1250" w:type="pct"/>
            <w:vAlign w:val="center"/>
          </w:tcPr>
          <w:p>
            <w:pPr>
              <w:spacing w:line="552" w:lineRule="auto"/>
              <w:jc w:val="center"/>
              <w:rPr>
                <w:rFonts w:hint="eastAsia" w:asciiTheme="minorEastAsia" w:hAnsiTheme="minorEastAsia" w:eastAsiaTheme="minorEastAsia" w:cstheme="minorEastAsia"/>
                <w:color w:val="auto"/>
                <w:sz w:val="24"/>
                <w:szCs w:val="24"/>
              </w:rPr>
            </w:pPr>
          </w:p>
        </w:tc>
        <w:tc>
          <w:tcPr>
            <w:tcW w:w="1250" w:type="pct"/>
          </w:tcPr>
          <w:p>
            <w:pPr>
              <w:spacing w:line="552" w:lineRule="auto"/>
              <w:jc w:val="center"/>
              <w:rPr>
                <w:rFonts w:hint="eastAsia" w:asciiTheme="minorEastAsia" w:hAnsiTheme="minorEastAsia" w:eastAsiaTheme="minorEastAsia" w:cstheme="minorEastAsia"/>
                <w:color w:val="auto"/>
                <w:sz w:val="24"/>
                <w:szCs w:val="24"/>
              </w:rPr>
            </w:pPr>
          </w:p>
        </w:tc>
      </w:tr>
    </w:tbl>
    <w:p>
      <w:pPr>
        <w:rPr>
          <w:rFonts w:hint="default" w:ascii="Times New Roman" w:hAnsi="Times New Roman" w:cs="Times New Roman"/>
          <w:color w:val="auto"/>
          <w:sz w:val="24"/>
          <w:szCs w:val="24"/>
        </w:rPr>
      </w:pPr>
    </w:p>
    <w:p>
      <w:pPr>
        <w:tabs>
          <w:tab w:val="left" w:pos="5040"/>
        </w:tabs>
        <w:snapToGrid w:val="0"/>
        <w:spacing w:line="276" w:lineRule="auto"/>
        <w:rPr>
          <w:rFonts w:hint="default" w:ascii="Times New Roman" w:hAnsi="Times New Roman" w:eastAsia="华文宋体" w:cs="Times New Roman"/>
          <w:color w:val="auto"/>
          <w:sz w:val="24"/>
          <w:szCs w:val="24"/>
        </w:rPr>
      </w:pPr>
    </w:p>
    <w:p>
      <w:pPr>
        <w:tabs>
          <w:tab w:val="left" w:pos="5040"/>
        </w:tabs>
        <w:snapToGrid w:val="0"/>
        <w:spacing w:line="276"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比选申请人：</w:t>
      </w:r>
      <w:r>
        <w:rPr>
          <w:rFonts w:hint="default" w:ascii="Times New Roman" w:hAnsi="Times New Roman" w:cs="Times New Roman"/>
          <w:color w:val="auto"/>
          <w:sz w:val="24"/>
          <w:szCs w:val="24"/>
          <w:u w:val="single"/>
        </w:rPr>
        <w:t>（全称、盖公章）</w:t>
      </w:r>
    </w:p>
    <w:p>
      <w:pPr>
        <w:tabs>
          <w:tab w:val="left" w:pos="5040"/>
        </w:tabs>
        <w:snapToGrid w:val="0"/>
        <w:spacing w:line="276"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法定代表人或授权代理人：</w:t>
      </w:r>
      <w:r>
        <w:rPr>
          <w:rFonts w:hint="default" w:ascii="Times New Roman" w:hAnsi="Times New Roman" w:cs="Times New Roman"/>
          <w:color w:val="auto"/>
          <w:sz w:val="24"/>
          <w:szCs w:val="24"/>
          <w:u w:val="single"/>
        </w:rPr>
        <w:t>（签字或盖章）</w:t>
      </w:r>
    </w:p>
    <w:p>
      <w:pPr>
        <w:tabs>
          <w:tab w:val="left" w:pos="5040"/>
        </w:tabs>
        <w:snapToGrid w:val="0"/>
        <w:spacing w:line="276" w:lineRule="auto"/>
        <w:rPr>
          <w:rFonts w:hint="default" w:ascii="Times New Roman" w:hAnsi="Times New Roman" w:cs="Times New Roman"/>
          <w:color w:val="auto"/>
          <w:szCs w:val="28"/>
        </w:rPr>
      </w:pPr>
      <w:r>
        <w:rPr>
          <w:rFonts w:hint="default" w:ascii="Times New Roman" w:hAnsi="Times New Roman" w:cs="Times New Roman"/>
          <w:color w:val="auto"/>
          <w:sz w:val="24"/>
          <w:szCs w:val="24"/>
        </w:rPr>
        <w:t>日期： 年  月  日</w:t>
      </w:r>
    </w:p>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lang w:val="en-US" w:eastAsia="zh-CN"/>
        </w:rPr>
      </w:pPr>
      <w:bookmarkStart w:id="29" w:name="_Toc356396354"/>
      <w:bookmarkStart w:id="30" w:name="_Toc279131289"/>
    </w:p>
    <w:p>
      <w:pPr>
        <w:rPr>
          <w:rFonts w:hint="default"/>
          <w:lang w:val="en-US" w:eastAsia="zh-CN"/>
        </w:rPr>
      </w:pPr>
    </w:p>
    <w:p>
      <w:pPr>
        <w:pStyle w:val="3"/>
        <w:pageBreakBefore w:val="0"/>
        <w:kinsoku/>
        <w:wordWrap/>
        <w:overflowPunct/>
        <w:topLinePunct w:val="0"/>
        <w:bidi w:val="0"/>
        <w:snapToGrid/>
        <w:spacing w:before="0" w:after="0" w:line="600" w:lineRule="exact"/>
        <w:jc w:val="center"/>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6.开评标场地情况</w:t>
      </w:r>
    </w:p>
    <w:p>
      <w:pPr>
        <w:rPr>
          <w:rFonts w:hint="default"/>
          <w:lang w:val="en-US" w:eastAsia="zh-CN"/>
        </w:rPr>
      </w:pPr>
    </w:p>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7.</w:t>
      </w:r>
      <w:r>
        <w:rPr>
          <w:rFonts w:hint="default" w:ascii="Times New Roman" w:hAnsi="Times New Roman" w:eastAsia="黑体" w:cs="Times New Roman"/>
          <w:color w:val="auto"/>
          <w:sz w:val="32"/>
          <w:szCs w:val="32"/>
        </w:rPr>
        <w:t>招标代理</w:t>
      </w:r>
      <w:bookmarkEnd w:id="29"/>
      <w:r>
        <w:rPr>
          <w:rFonts w:hint="default" w:ascii="Times New Roman" w:hAnsi="Times New Roman" w:eastAsia="黑体" w:cs="Times New Roman"/>
          <w:color w:val="auto"/>
          <w:sz w:val="32"/>
          <w:szCs w:val="32"/>
        </w:rPr>
        <w:t>服务方案（自行编写）</w:t>
      </w:r>
    </w:p>
    <w:p>
      <w:pPr>
        <w:rPr>
          <w:rFonts w:hint="default"/>
        </w:rPr>
      </w:pPr>
    </w:p>
    <w:p>
      <w:pPr>
        <w:pStyle w:val="3"/>
        <w:pageBreakBefore w:val="0"/>
        <w:kinsoku/>
        <w:wordWrap/>
        <w:overflowPunct/>
        <w:topLinePunct w:val="0"/>
        <w:bidi w:val="0"/>
        <w:snapToGrid/>
        <w:spacing w:before="0" w:after="0" w:line="600" w:lineRule="exact"/>
        <w:jc w:val="center"/>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8.</w:t>
      </w:r>
      <w:r>
        <w:rPr>
          <w:rFonts w:hint="default" w:ascii="Times New Roman" w:hAnsi="Times New Roman" w:eastAsia="黑体" w:cs="Times New Roman"/>
          <w:color w:val="auto"/>
          <w:sz w:val="32"/>
          <w:szCs w:val="32"/>
        </w:rPr>
        <w:t>比选申请人其它证明材料</w:t>
      </w:r>
      <w:bookmarkEnd w:id="28"/>
      <w:bookmarkEnd w:id="30"/>
    </w:p>
    <w:p>
      <w:pPr>
        <w:widowControl/>
        <w:ind w:firstLine="640" w:firstLineChars="200"/>
        <w:jc w:val="center"/>
        <w:rPr>
          <w:rFonts w:hint="default" w:ascii="Times New Roman" w:hAnsi="Times New Roman" w:eastAsia="仿宋_GB2312" w:cs="Times New Roman"/>
          <w:color w:val="auto"/>
          <w:sz w:val="32"/>
          <w:szCs w:val="32"/>
        </w:rPr>
      </w:pPr>
    </w:p>
    <w:p>
      <w:pPr>
        <w:widowControl/>
        <w:ind w:firstLine="640" w:firstLineChars="200"/>
        <w:jc w:val="left"/>
        <w:rPr>
          <w:rFonts w:hint="default" w:ascii="Times New Roman" w:hAnsi="Times New Roman" w:eastAsia="仿宋_GB2312" w:cs="Times New Roman"/>
          <w:color w:val="auto"/>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1NmEzNDdiMGVlNWY4MzI0N2E0ZWI0MDJkMjBlN2UifQ=="/>
    <w:docVar w:name="KSO_WPS_MARK_KEY" w:val="64ab352b-1c5e-4212-b69b-d20898f2610a"/>
  </w:docVars>
  <w:rsids>
    <w:rsidRoot w:val="00D83E7E"/>
    <w:rsid w:val="00310161"/>
    <w:rsid w:val="00313CB8"/>
    <w:rsid w:val="0049340F"/>
    <w:rsid w:val="0070186D"/>
    <w:rsid w:val="00844EEF"/>
    <w:rsid w:val="00866FF8"/>
    <w:rsid w:val="008F730B"/>
    <w:rsid w:val="0095553F"/>
    <w:rsid w:val="009942A2"/>
    <w:rsid w:val="009B3B1F"/>
    <w:rsid w:val="00A31296"/>
    <w:rsid w:val="00B1570F"/>
    <w:rsid w:val="00C578B5"/>
    <w:rsid w:val="00C6082D"/>
    <w:rsid w:val="00D83E7E"/>
    <w:rsid w:val="00EB0683"/>
    <w:rsid w:val="011078C7"/>
    <w:rsid w:val="019422A6"/>
    <w:rsid w:val="0296793C"/>
    <w:rsid w:val="02FA438B"/>
    <w:rsid w:val="03925627"/>
    <w:rsid w:val="04181D4D"/>
    <w:rsid w:val="043D1C4D"/>
    <w:rsid w:val="048E122E"/>
    <w:rsid w:val="049006D3"/>
    <w:rsid w:val="0495080F"/>
    <w:rsid w:val="04AE744B"/>
    <w:rsid w:val="04D23811"/>
    <w:rsid w:val="04F05A45"/>
    <w:rsid w:val="051C683A"/>
    <w:rsid w:val="05327557"/>
    <w:rsid w:val="05417FCC"/>
    <w:rsid w:val="063F6C84"/>
    <w:rsid w:val="07A50D69"/>
    <w:rsid w:val="08031F33"/>
    <w:rsid w:val="0B183CC1"/>
    <w:rsid w:val="0B24469B"/>
    <w:rsid w:val="0B8D1C28"/>
    <w:rsid w:val="0C150ED8"/>
    <w:rsid w:val="0C5965C6"/>
    <w:rsid w:val="0CD345CA"/>
    <w:rsid w:val="0D676AC1"/>
    <w:rsid w:val="0E2A021A"/>
    <w:rsid w:val="0E547045"/>
    <w:rsid w:val="0E5C05EF"/>
    <w:rsid w:val="0EDD34DE"/>
    <w:rsid w:val="0F31382A"/>
    <w:rsid w:val="0F8751F8"/>
    <w:rsid w:val="0F9D4A1B"/>
    <w:rsid w:val="11FC1ECD"/>
    <w:rsid w:val="123E7226"/>
    <w:rsid w:val="12767ED2"/>
    <w:rsid w:val="12F64B6E"/>
    <w:rsid w:val="13765CAF"/>
    <w:rsid w:val="13B02844"/>
    <w:rsid w:val="13D529D6"/>
    <w:rsid w:val="13F52E47"/>
    <w:rsid w:val="14261483"/>
    <w:rsid w:val="154222ED"/>
    <w:rsid w:val="15545B7C"/>
    <w:rsid w:val="16557DFE"/>
    <w:rsid w:val="16A13043"/>
    <w:rsid w:val="16D17DA2"/>
    <w:rsid w:val="1A473F02"/>
    <w:rsid w:val="1AB573B4"/>
    <w:rsid w:val="1BAF0220"/>
    <w:rsid w:val="1C17015E"/>
    <w:rsid w:val="1D44297A"/>
    <w:rsid w:val="1F120F82"/>
    <w:rsid w:val="201B6E4F"/>
    <w:rsid w:val="20A00F4B"/>
    <w:rsid w:val="20B00A53"/>
    <w:rsid w:val="20EC75B1"/>
    <w:rsid w:val="210A7A37"/>
    <w:rsid w:val="21CE5284"/>
    <w:rsid w:val="22FA4207"/>
    <w:rsid w:val="231132FF"/>
    <w:rsid w:val="243A6885"/>
    <w:rsid w:val="250C6474"/>
    <w:rsid w:val="257302A1"/>
    <w:rsid w:val="25D1393A"/>
    <w:rsid w:val="26040EF9"/>
    <w:rsid w:val="26235823"/>
    <w:rsid w:val="271909D4"/>
    <w:rsid w:val="27C70430"/>
    <w:rsid w:val="27FBB0AD"/>
    <w:rsid w:val="285F68BA"/>
    <w:rsid w:val="29C95E12"/>
    <w:rsid w:val="29D37560"/>
    <w:rsid w:val="29D61A32"/>
    <w:rsid w:val="2A662182"/>
    <w:rsid w:val="2AB66DA1"/>
    <w:rsid w:val="2AD03A9F"/>
    <w:rsid w:val="2AD76BDC"/>
    <w:rsid w:val="2B2C7915"/>
    <w:rsid w:val="2C2E20E8"/>
    <w:rsid w:val="2C3D6F12"/>
    <w:rsid w:val="2DAF6C16"/>
    <w:rsid w:val="2E0A72C8"/>
    <w:rsid w:val="2F674EEA"/>
    <w:rsid w:val="2F72F8DA"/>
    <w:rsid w:val="2F917CA1"/>
    <w:rsid w:val="309D4424"/>
    <w:rsid w:val="30C95219"/>
    <w:rsid w:val="30F1651D"/>
    <w:rsid w:val="31434FCB"/>
    <w:rsid w:val="322F554F"/>
    <w:rsid w:val="327E5833"/>
    <w:rsid w:val="328F5FEE"/>
    <w:rsid w:val="33751688"/>
    <w:rsid w:val="3390201E"/>
    <w:rsid w:val="33EC28F5"/>
    <w:rsid w:val="340842AA"/>
    <w:rsid w:val="353D61D5"/>
    <w:rsid w:val="35BF6BEA"/>
    <w:rsid w:val="35DC59EE"/>
    <w:rsid w:val="35FC7E3E"/>
    <w:rsid w:val="36317AE8"/>
    <w:rsid w:val="36AE1139"/>
    <w:rsid w:val="36C25402"/>
    <w:rsid w:val="36CE38A8"/>
    <w:rsid w:val="37B7318F"/>
    <w:rsid w:val="38561A88"/>
    <w:rsid w:val="38883C0B"/>
    <w:rsid w:val="389B1C13"/>
    <w:rsid w:val="39304B8B"/>
    <w:rsid w:val="39317DFF"/>
    <w:rsid w:val="3A540249"/>
    <w:rsid w:val="3A777624"/>
    <w:rsid w:val="3B0F6486"/>
    <w:rsid w:val="3B30588C"/>
    <w:rsid w:val="3B517874"/>
    <w:rsid w:val="3B530501"/>
    <w:rsid w:val="3BFFF1E9"/>
    <w:rsid w:val="3C6A5B02"/>
    <w:rsid w:val="3CB46D7D"/>
    <w:rsid w:val="3D65451B"/>
    <w:rsid w:val="3DB039E8"/>
    <w:rsid w:val="3DCC00F6"/>
    <w:rsid w:val="3DD75419"/>
    <w:rsid w:val="3E2B7513"/>
    <w:rsid w:val="3E3C527C"/>
    <w:rsid w:val="3E3FB10E"/>
    <w:rsid w:val="3E6A003B"/>
    <w:rsid w:val="3ECB2DCB"/>
    <w:rsid w:val="3F253F62"/>
    <w:rsid w:val="3F67457A"/>
    <w:rsid w:val="3F6A5E19"/>
    <w:rsid w:val="3F6C349D"/>
    <w:rsid w:val="3F982986"/>
    <w:rsid w:val="3FE45BCB"/>
    <w:rsid w:val="40B51316"/>
    <w:rsid w:val="41B25855"/>
    <w:rsid w:val="42574D74"/>
    <w:rsid w:val="434D3A87"/>
    <w:rsid w:val="43B56D2B"/>
    <w:rsid w:val="44352C5C"/>
    <w:rsid w:val="44E8813B"/>
    <w:rsid w:val="454A5E98"/>
    <w:rsid w:val="454D5FC1"/>
    <w:rsid w:val="45DB123F"/>
    <w:rsid w:val="45F4468E"/>
    <w:rsid w:val="47024B89"/>
    <w:rsid w:val="47721D0E"/>
    <w:rsid w:val="478A3CBA"/>
    <w:rsid w:val="478D6B48"/>
    <w:rsid w:val="4812704D"/>
    <w:rsid w:val="48F74BC1"/>
    <w:rsid w:val="491237A9"/>
    <w:rsid w:val="4916018C"/>
    <w:rsid w:val="4A7B537E"/>
    <w:rsid w:val="4AA464F7"/>
    <w:rsid w:val="4B1732F9"/>
    <w:rsid w:val="4BB90110"/>
    <w:rsid w:val="4CDF7F1B"/>
    <w:rsid w:val="4DBD7A5B"/>
    <w:rsid w:val="4E4948FB"/>
    <w:rsid w:val="4E4B5067"/>
    <w:rsid w:val="4EC70B92"/>
    <w:rsid w:val="4EFB5244"/>
    <w:rsid w:val="4F524A5A"/>
    <w:rsid w:val="4FF1781F"/>
    <w:rsid w:val="4FFF426F"/>
    <w:rsid w:val="5032028D"/>
    <w:rsid w:val="511E4CB5"/>
    <w:rsid w:val="518F170F"/>
    <w:rsid w:val="522E6796"/>
    <w:rsid w:val="52756B57"/>
    <w:rsid w:val="52903990"/>
    <w:rsid w:val="52CF6267"/>
    <w:rsid w:val="5337C947"/>
    <w:rsid w:val="539B5781"/>
    <w:rsid w:val="53F4623D"/>
    <w:rsid w:val="542F3CB4"/>
    <w:rsid w:val="54F150B3"/>
    <w:rsid w:val="54FF095A"/>
    <w:rsid w:val="552A00CC"/>
    <w:rsid w:val="558A2919"/>
    <w:rsid w:val="5597ACAB"/>
    <w:rsid w:val="55A563B8"/>
    <w:rsid w:val="55A83DE9"/>
    <w:rsid w:val="55FA7A9F"/>
    <w:rsid w:val="57013FC4"/>
    <w:rsid w:val="57790E97"/>
    <w:rsid w:val="577D6932"/>
    <w:rsid w:val="57F347A6"/>
    <w:rsid w:val="57FF887E"/>
    <w:rsid w:val="5A2F3A8F"/>
    <w:rsid w:val="5A4D03AA"/>
    <w:rsid w:val="5B701FAD"/>
    <w:rsid w:val="5B7BCCCA"/>
    <w:rsid w:val="5BA30291"/>
    <w:rsid w:val="5BBB382C"/>
    <w:rsid w:val="5BCF72D8"/>
    <w:rsid w:val="5BDD159B"/>
    <w:rsid w:val="5C07081F"/>
    <w:rsid w:val="5C167104"/>
    <w:rsid w:val="5C1A3CD5"/>
    <w:rsid w:val="5D5977A1"/>
    <w:rsid w:val="5DBDDDD9"/>
    <w:rsid w:val="5DFB2606"/>
    <w:rsid w:val="5E457D25"/>
    <w:rsid w:val="5E4F9992"/>
    <w:rsid w:val="5EC22E68"/>
    <w:rsid w:val="5EE77629"/>
    <w:rsid w:val="5F296CC8"/>
    <w:rsid w:val="5FAB2820"/>
    <w:rsid w:val="5FAE7166"/>
    <w:rsid w:val="60082DB8"/>
    <w:rsid w:val="6017124D"/>
    <w:rsid w:val="6017749F"/>
    <w:rsid w:val="602A0F80"/>
    <w:rsid w:val="604A1623"/>
    <w:rsid w:val="621357FA"/>
    <w:rsid w:val="627B3D15"/>
    <w:rsid w:val="627F943B"/>
    <w:rsid w:val="628E1C9B"/>
    <w:rsid w:val="629152E7"/>
    <w:rsid w:val="630261E5"/>
    <w:rsid w:val="6356208C"/>
    <w:rsid w:val="63A72F86"/>
    <w:rsid w:val="64A04202"/>
    <w:rsid w:val="64B17EC2"/>
    <w:rsid w:val="64BB664B"/>
    <w:rsid w:val="65ADFBEB"/>
    <w:rsid w:val="65B85280"/>
    <w:rsid w:val="65F31E15"/>
    <w:rsid w:val="667A6CB0"/>
    <w:rsid w:val="66860EDB"/>
    <w:rsid w:val="668F7D8F"/>
    <w:rsid w:val="6760172C"/>
    <w:rsid w:val="68054F55"/>
    <w:rsid w:val="690B56C7"/>
    <w:rsid w:val="69197DE4"/>
    <w:rsid w:val="6945736C"/>
    <w:rsid w:val="69715E72"/>
    <w:rsid w:val="6A5A4B58"/>
    <w:rsid w:val="6A8B094D"/>
    <w:rsid w:val="6B511AB7"/>
    <w:rsid w:val="6BEC5C84"/>
    <w:rsid w:val="6BECC47F"/>
    <w:rsid w:val="6D695244"/>
    <w:rsid w:val="6D7F62F5"/>
    <w:rsid w:val="6E0F4660"/>
    <w:rsid w:val="6EAE0FCF"/>
    <w:rsid w:val="6EB760D5"/>
    <w:rsid w:val="6EFB294C"/>
    <w:rsid w:val="6EFE1F56"/>
    <w:rsid w:val="6F675D4D"/>
    <w:rsid w:val="6FFF19D5"/>
    <w:rsid w:val="704D3B06"/>
    <w:rsid w:val="70657DB3"/>
    <w:rsid w:val="70AD3C34"/>
    <w:rsid w:val="711D243B"/>
    <w:rsid w:val="71777D9E"/>
    <w:rsid w:val="718A62D9"/>
    <w:rsid w:val="719426FE"/>
    <w:rsid w:val="71DE65BF"/>
    <w:rsid w:val="726A16B0"/>
    <w:rsid w:val="733F48EB"/>
    <w:rsid w:val="736D76AA"/>
    <w:rsid w:val="737C6164"/>
    <w:rsid w:val="73B52C2C"/>
    <w:rsid w:val="740C0C71"/>
    <w:rsid w:val="74373814"/>
    <w:rsid w:val="74A0585D"/>
    <w:rsid w:val="75792336"/>
    <w:rsid w:val="757E794D"/>
    <w:rsid w:val="76ABCCEA"/>
    <w:rsid w:val="773504DF"/>
    <w:rsid w:val="7745F5FB"/>
    <w:rsid w:val="77714A19"/>
    <w:rsid w:val="77BEFD2B"/>
    <w:rsid w:val="77EFA5A4"/>
    <w:rsid w:val="77FC2DAB"/>
    <w:rsid w:val="77FF0410"/>
    <w:rsid w:val="780E3E3A"/>
    <w:rsid w:val="792507FC"/>
    <w:rsid w:val="79BF6367"/>
    <w:rsid w:val="79EEE217"/>
    <w:rsid w:val="79F75F20"/>
    <w:rsid w:val="79FC52E4"/>
    <w:rsid w:val="7A295E5E"/>
    <w:rsid w:val="7A923E9A"/>
    <w:rsid w:val="7AD24297"/>
    <w:rsid w:val="7B3B008E"/>
    <w:rsid w:val="7B4336B3"/>
    <w:rsid w:val="7BD77DB7"/>
    <w:rsid w:val="7BFA90D5"/>
    <w:rsid w:val="7BFE8331"/>
    <w:rsid w:val="7BFFFDFF"/>
    <w:rsid w:val="7C9878DB"/>
    <w:rsid w:val="7C9B351A"/>
    <w:rsid w:val="7CB41EA6"/>
    <w:rsid w:val="7CEF5124"/>
    <w:rsid w:val="7D384885"/>
    <w:rsid w:val="7D7BBBF2"/>
    <w:rsid w:val="7D816BCD"/>
    <w:rsid w:val="7DAC7021"/>
    <w:rsid w:val="7DBB7264"/>
    <w:rsid w:val="7DF32436"/>
    <w:rsid w:val="7E105802"/>
    <w:rsid w:val="7EDFD3A4"/>
    <w:rsid w:val="7EFEF7A6"/>
    <w:rsid w:val="7F0B39A9"/>
    <w:rsid w:val="7F4D0390"/>
    <w:rsid w:val="7F5401C9"/>
    <w:rsid w:val="7F5FBA31"/>
    <w:rsid w:val="7F6F2161"/>
    <w:rsid w:val="7FAB1C50"/>
    <w:rsid w:val="7FD59744"/>
    <w:rsid w:val="7FDB68D6"/>
    <w:rsid w:val="7FDD2BD3"/>
    <w:rsid w:val="7FDFC44E"/>
    <w:rsid w:val="7FEF9B51"/>
    <w:rsid w:val="7FFD3B64"/>
    <w:rsid w:val="7FFE136C"/>
    <w:rsid w:val="7FFE7119"/>
    <w:rsid w:val="7FFF2BBE"/>
    <w:rsid w:val="8F7714C2"/>
    <w:rsid w:val="97FE14FE"/>
    <w:rsid w:val="9DF66F96"/>
    <w:rsid w:val="9DFF37F7"/>
    <w:rsid w:val="9F9E99EF"/>
    <w:rsid w:val="9FAC585E"/>
    <w:rsid w:val="A1CB97AB"/>
    <w:rsid w:val="AEF54920"/>
    <w:rsid w:val="AF654F38"/>
    <w:rsid w:val="B1A7FDA9"/>
    <w:rsid w:val="B7A24298"/>
    <w:rsid w:val="BD8526E6"/>
    <w:rsid w:val="BFB75A62"/>
    <w:rsid w:val="BFFF3A0C"/>
    <w:rsid w:val="CBE52846"/>
    <w:rsid w:val="D1F770DC"/>
    <w:rsid w:val="D73C1CA7"/>
    <w:rsid w:val="DBF9BEE6"/>
    <w:rsid w:val="DFF943EA"/>
    <w:rsid w:val="E63F0982"/>
    <w:rsid w:val="ECBFEDF7"/>
    <w:rsid w:val="EE7E9478"/>
    <w:rsid w:val="EF7D4132"/>
    <w:rsid w:val="EFFBFDB3"/>
    <w:rsid w:val="F58D1662"/>
    <w:rsid w:val="F5C75DF3"/>
    <w:rsid w:val="F5E76CE9"/>
    <w:rsid w:val="F5FE01A9"/>
    <w:rsid w:val="F5FF11C6"/>
    <w:rsid w:val="F7BF230F"/>
    <w:rsid w:val="F97F8D89"/>
    <w:rsid w:val="FB59EB64"/>
    <w:rsid w:val="FC9FCA46"/>
    <w:rsid w:val="FD5DC14C"/>
    <w:rsid w:val="FDEF1521"/>
    <w:rsid w:val="FDFDCC7F"/>
    <w:rsid w:val="FEA3BBC8"/>
    <w:rsid w:val="FFAF368D"/>
    <w:rsid w:val="FFF2B02F"/>
    <w:rsid w:val="FFFF426A"/>
    <w:rsid w:val="FFFF462E"/>
    <w:rsid w:val="FFFFF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3"/>
    <w:qFormat/>
    <w:uiPriority w:val="9"/>
    <w:pPr>
      <w:keepNext/>
      <w:keepLines/>
      <w:spacing w:before="260" w:after="260" w:line="416" w:lineRule="auto"/>
      <w:outlineLvl w:val="1"/>
    </w:pPr>
    <w:rPr>
      <w:rFonts w:ascii="Cambria" w:hAnsi="Cambria"/>
      <w:b/>
      <w:bCs/>
      <w:sz w:val="32"/>
      <w:szCs w:val="32"/>
    </w:rPr>
  </w:style>
  <w:style w:type="paragraph" w:styleId="3">
    <w:name w:val="heading 4"/>
    <w:basedOn w:val="1"/>
    <w:next w:val="1"/>
    <w:link w:val="14"/>
    <w:qFormat/>
    <w:uiPriority w:val="9"/>
    <w:pPr>
      <w:keepNext/>
      <w:keepLines/>
      <w:spacing w:before="280" w:after="290" w:line="376" w:lineRule="auto"/>
      <w:outlineLvl w:val="3"/>
    </w:pPr>
    <w:rPr>
      <w:rFonts w:ascii="Cambria" w:hAnsi="Cambria"/>
      <w:b/>
      <w:bCs/>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Hyperlink"/>
    <w:basedOn w:val="9"/>
    <w:semiHidden/>
    <w:unhideWhenUsed/>
    <w:qFormat/>
    <w:uiPriority w:val="99"/>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2 字符"/>
    <w:basedOn w:val="9"/>
    <w:link w:val="2"/>
    <w:qFormat/>
    <w:uiPriority w:val="9"/>
    <w:rPr>
      <w:rFonts w:ascii="Cambria" w:hAnsi="Cambria" w:eastAsia="宋体" w:cs="Times New Roman"/>
      <w:b/>
      <w:bCs/>
      <w:sz w:val="32"/>
      <w:szCs w:val="32"/>
    </w:rPr>
  </w:style>
  <w:style w:type="character" w:customStyle="1" w:styleId="14">
    <w:name w:val="标题 4 字符"/>
    <w:basedOn w:val="9"/>
    <w:link w:val="3"/>
    <w:qFormat/>
    <w:uiPriority w:val="9"/>
    <w:rPr>
      <w:rFonts w:ascii="Cambria" w:hAnsi="Cambria" w:eastAsia="宋体" w:cs="Times New Roman"/>
      <w:b/>
      <w:bCs/>
      <w:szCs w:val="28"/>
    </w:rPr>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14</Pages>
  <Words>5319</Words>
  <Characters>5472</Characters>
  <Lines>42</Lines>
  <Paragraphs>11</Paragraphs>
  <TotalTime>2</TotalTime>
  <ScaleCrop>false</ScaleCrop>
  <LinksUpToDate>false</LinksUpToDate>
  <CharactersWithSpaces>5547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2023-03-16T20:01:00Z</dcterms:created>
  <dc:creator>cu</dc:creator>
  <cp:lastModifiedBy>吕焰平</cp:lastModifiedBy>
  <dcterms:modified xsi:type="dcterms:W3CDTF">2024-01-08T02:31:42Z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FB6272F8F7BF4AC9A0CE77309BAA28A8_13</vt:lpwstr>
  </property>
</Properties>
</file>